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1FB9F1" w14:textId="01974649" w:rsidR="004F5A3B" w:rsidRPr="0097512C" w:rsidRDefault="00486701">
      <w:pPr>
        <w:pStyle w:val="Szvegtrzs"/>
        <w:spacing w:before="6"/>
        <w:rPr>
          <w:rFonts w:ascii="NimbusSansNovReg" w:hAnsi="NimbusSansNovReg"/>
          <w:color w:val="98BF11"/>
          <w:sz w:val="44"/>
          <w:szCs w:val="44"/>
        </w:rPr>
      </w:pPr>
      <w:r w:rsidRPr="0097512C">
        <w:rPr>
          <w:rFonts w:ascii="NimbusSansNovReg" w:hAnsi="NimbusSansNovReg"/>
          <w:color w:val="98BF11"/>
          <w:sz w:val="44"/>
          <w:szCs w:val="44"/>
        </w:rPr>
        <w:t>REHAU ÚJHARTYÁN</w:t>
      </w:r>
    </w:p>
    <w:p w14:paraId="63028E5F" w14:textId="4BC4190A" w:rsidR="00486701" w:rsidRDefault="00486701">
      <w:pPr>
        <w:pStyle w:val="Szvegtrzs"/>
        <w:spacing w:before="6"/>
        <w:rPr>
          <w:rFonts w:ascii="NimbusSansNovReg" w:hAnsi="NimbusSansNovReg"/>
          <w:sz w:val="46"/>
        </w:rPr>
      </w:pPr>
    </w:p>
    <w:p w14:paraId="06E04ECD" w14:textId="757A0A27" w:rsidR="00957A8B" w:rsidRPr="00020994" w:rsidRDefault="00957A8B" w:rsidP="00020994">
      <w:pPr>
        <w:pStyle w:val="Cmsor1"/>
        <w:numPr>
          <w:ilvl w:val="0"/>
          <w:numId w:val="5"/>
        </w:numPr>
        <w:tabs>
          <w:tab w:val="left" w:pos="653"/>
        </w:tabs>
        <w:spacing w:before="240" w:after="240"/>
        <w:ind w:hanging="431"/>
        <w:rPr>
          <w:rFonts w:ascii="NimbusSansNovReg" w:hAnsi="NimbusSansNovReg"/>
          <w:color w:val="98BF11"/>
        </w:rPr>
      </w:pPr>
      <w:bookmarkStart w:id="0" w:name="_Hlk5999134"/>
      <w:r w:rsidRPr="00020994">
        <w:rPr>
          <w:rFonts w:ascii="NimbusSansNovReg" w:hAnsi="NimbusSansNovReg"/>
          <w:color w:val="98BF11"/>
        </w:rPr>
        <w:t>Az ingatlanfejlesztés célja és koncepciója</w:t>
      </w:r>
      <w:bookmarkEnd w:id="0"/>
    </w:p>
    <w:p w14:paraId="1DA053FC" w14:textId="573FF113" w:rsidR="00957A8B" w:rsidRDefault="00957A8B" w:rsidP="00957A8B">
      <w:pPr>
        <w:pStyle w:val="Szvegtrzs"/>
        <w:ind w:left="221" w:right="330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 xml:space="preserve">A Rehau cég </w:t>
      </w:r>
      <w:r w:rsidR="00A94596">
        <w:rPr>
          <w:rFonts w:ascii="NimbusSansNovReg" w:hAnsi="NimbusSansNovReg"/>
        </w:rPr>
        <w:t>a</w:t>
      </w:r>
      <w:r w:rsidR="00A94596" w:rsidRPr="00957A8B">
        <w:rPr>
          <w:rFonts w:ascii="NimbusSansNovReg" w:hAnsi="NimbusSansNovReg"/>
        </w:rPr>
        <w:t>utomotiv</w:t>
      </w:r>
      <w:r w:rsidRPr="00957A8B">
        <w:rPr>
          <w:rFonts w:ascii="NimbusSansNovReg" w:hAnsi="NimbusSansNovReg"/>
        </w:rPr>
        <w:t xml:space="preserve"> üzletág</w:t>
      </w:r>
      <w:r>
        <w:rPr>
          <w:rFonts w:ascii="NimbusSansNovReg" w:hAnsi="NimbusSansNovReg"/>
        </w:rPr>
        <w:t>a</w:t>
      </w:r>
      <w:r w:rsidRPr="00957A8B">
        <w:rPr>
          <w:rFonts w:ascii="NimbusSansNovReg" w:hAnsi="NimbusSansNovReg"/>
        </w:rPr>
        <w:t xml:space="preserve"> (REHAU-Automotive Kft.) </w:t>
      </w:r>
      <w:r>
        <w:rPr>
          <w:rFonts w:ascii="NimbusSansNovReg" w:hAnsi="NimbusSansNovReg"/>
        </w:rPr>
        <w:t xml:space="preserve">Közép-Keleteurópai gyártási bázisokkal kötött eredményes beszállítói szerződéseket, ezért szükségessé vált a régióban egy új komplex produkciós helyszín megvalósítása. Mivel a technológia összetett és nem kompromisszumképes, ezért a célkitűzés </w:t>
      </w:r>
      <w:r w:rsidRPr="00957A8B">
        <w:rPr>
          <w:rFonts w:ascii="NimbusSansNovReg" w:hAnsi="NimbusSansNovReg"/>
        </w:rPr>
        <w:t>zöldmezős beruházás</w:t>
      </w:r>
      <w:r>
        <w:rPr>
          <w:rFonts w:ascii="NimbusSansNovReg" w:hAnsi="NimbusSansNovReg"/>
        </w:rPr>
        <w:t>ra irányult.</w:t>
      </w:r>
      <w:r w:rsidRPr="00957A8B">
        <w:rPr>
          <w:rFonts w:ascii="NimbusSansNovReg" w:hAnsi="NimbusSansNovReg"/>
        </w:rPr>
        <w:t xml:space="preserve"> A cég telephelye Győrben található. Az Újhartyánba tervezett épületegyüttes funkciója fröccsöntő és lakkozó üzem, az ezt kiszolgáló összeszerelő és logisztikai funkciókkal, továbbá irodaépülettel és portákkal.</w:t>
      </w:r>
    </w:p>
    <w:p w14:paraId="1732F6D1" w14:textId="5021624D" w:rsidR="00957A8B" w:rsidRDefault="00957A8B" w:rsidP="00957A8B">
      <w:pPr>
        <w:pStyle w:val="Szvegtrzs"/>
        <w:ind w:left="221" w:right="330"/>
        <w:jc w:val="both"/>
        <w:rPr>
          <w:rFonts w:ascii="NimbusSansNovReg" w:hAnsi="NimbusSansNovReg"/>
        </w:rPr>
      </w:pPr>
      <w:r>
        <w:rPr>
          <w:rFonts w:ascii="NimbusSansNovReg" w:hAnsi="NimbusSansNovReg"/>
        </w:rPr>
        <w:t>A megfelelő lokáció az Óbuda-Újlak Zrt. által elvégzett alapos helyszíni vizsgálatai alapján a befektető választása a</w:t>
      </w:r>
      <w:r w:rsidR="00E35184">
        <w:rPr>
          <w:rFonts w:ascii="NimbusSansNovReg" w:hAnsi="NimbusSansNovReg"/>
        </w:rPr>
        <w:t xml:space="preserve"> rendkívül jó közlekedési adottságokat felmutató </w:t>
      </w:r>
      <w:r w:rsidRPr="00957A8B">
        <w:rPr>
          <w:rFonts w:ascii="NimbusSansNovReg" w:hAnsi="NimbusSansNovReg"/>
        </w:rPr>
        <w:t xml:space="preserve">Újhartyán </w:t>
      </w:r>
      <w:r>
        <w:rPr>
          <w:rFonts w:ascii="NimbusSansNovReg" w:hAnsi="NimbusSansNovReg"/>
        </w:rPr>
        <w:t xml:space="preserve">ipari park </w:t>
      </w:r>
      <w:r w:rsidRPr="00957A8B">
        <w:rPr>
          <w:rFonts w:ascii="NimbusSansNovReg" w:hAnsi="NimbusSansNovReg"/>
        </w:rPr>
        <w:t>területén</w:t>
      </w:r>
      <w:r>
        <w:rPr>
          <w:rFonts w:ascii="NimbusSansNovReg" w:hAnsi="NimbusSansNovReg"/>
        </w:rPr>
        <w:t xml:space="preserve"> levő nagy területű ipari telekre esett</w:t>
      </w:r>
      <w:r w:rsidRPr="00957A8B">
        <w:rPr>
          <w:rFonts w:ascii="NimbusSansNovReg" w:hAnsi="NimbusSansNovReg"/>
        </w:rPr>
        <w:t xml:space="preserve">. </w:t>
      </w:r>
    </w:p>
    <w:p w14:paraId="1DD155D9" w14:textId="1A79135B" w:rsidR="00957A8B" w:rsidRDefault="00957A8B" w:rsidP="00957A8B">
      <w:pPr>
        <w:pStyle w:val="Cmsor2"/>
        <w:numPr>
          <w:ilvl w:val="1"/>
          <w:numId w:val="5"/>
        </w:numPr>
        <w:tabs>
          <w:tab w:val="left" w:pos="796"/>
          <w:tab w:val="left" w:pos="798"/>
        </w:tabs>
        <w:spacing w:before="120" w:after="120"/>
        <w:ind w:left="799" w:hanging="578"/>
        <w:rPr>
          <w:rFonts w:ascii="NimbusSansNovReg" w:hAnsi="NimbusSansNovReg"/>
          <w:b w:val="0"/>
          <w:bCs w:val="0"/>
          <w:color w:val="98BF11"/>
        </w:rPr>
      </w:pPr>
      <w:r w:rsidRPr="00957A8B">
        <w:rPr>
          <w:rFonts w:ascii="NimbusSansNovReg" w:hAnsi="NimbusSansNovReg"/>
          <w:b w:val="0"/>
          <w:bCs w:val="0"/>
          <w:color w:val="98BF11"/>
        </w:rPr>
        <w:t>Rövid leírás a fejlesztésről (adatok, méretek, jellemzők)</w:t>
      </w:r>
    </w:p>
    <w:tbl>
      <w:tblPr>
        <w:tblW w:w="8933" w:type="dxa"/>
        <w:tblInd w:w="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4820"/>
        <w:gridCol w:w="969"/>
        <w:gridCol w:w="9"/>
        <w:gridCol w:w="17"/>
      </w:tblGrid>
      <w:tr w:rsidR="00494994" w14:paraId="06554F51" w14:textId="77777777" w:rsidTr="00543D65">
        <w:trPr>
          <w:gridAfter w:val="1"/>
          <w:wAfter w:w="17" w:type="dxa"/>
          <w:trHeight w:val="300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C196C8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Projekt megnevezése</w:t>
            </w:r>
          </w:p>
        </w:tc>
        <w:tc>
          <w:tcPr>
            <w:tcW w:w="57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C23AC5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REHAU Újhartyán, új gyárkomplexum</w:t>
            </w:r>
          </w:p>
        </w:tc>
      </w:tr>
      <w:tr w:rsidR="00494994" w14:paraId="05D7F3B7" w14:textId="77777777" w:rsidTr="00543D65">
        <w:trPr>
          <w:gridAfter w:val="2"/>
          <w:wAfter w:w="26" w:type="dxa"/>
          <w:trHeight w:val="30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D08F4D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 xml:space="preserve">telek területe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162B48" w14:textId="77777777" w:rsidR="00494994" w:rsidRPr="00494994" w:rsidRDefault="00494994" w:rsidP="00494994">
            <w:pPr>
              <w:jc w:val="right"/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439.571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872660" w14:textId="77777777" w:rsidR="00494994" w:rsidRPr="00494994" w:rsidRDefault="00494994" w:rsidP="00543D65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m2</w:t>
            </w:r>
          </w:p>
        </w:tc>
      </w:tr>
      <w:tr w:rsidR="00494994" w14:paraId="398268D2" w14:textId="77777777" w:rsidTr="00543D65">
        <w:trPr>
          <w:gridAfter w:val="2"/>
          <w:wAfter w:w="26" w:type="dxa"/>
          <w:trHeight w:val="30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AD67DB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beépített terület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761520" w14:textId="77777777" w:rsidR="00494994" w:rsidRPr="00494994" w:rsidRDefault="00494994" w:rsidP="00494994">
            <w:pPr>
              <w:jc w:val="right"/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 xml:space="preserve">65.901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153AED" w14:textId="77777777" w:rsidR="00494994" w:rsidRPr="00494994" w:rsidRDefault="00494994" w:rsidP="00543D65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m2</w:t>
            </w:r>
          </w:p>
        </w:tc>
      </w:tr>
      <w:tr w:rsidR="00494994" w14:paraId="0F2B5596" w14:textId="77777777" w:rsidTr="00543D65">
        <w:trPr>
          <w:gridAfter w:val="2"/>
          <w:wAfter w:w="26" w:type="dxa"/>
          <w:trHeight w:val="30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FC0825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zöld terület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D154B4" w14:textId="77777777" w:rsidR="00494994" w:rsidRPr="00494994" w:rsidRDefault="00494994" w:rsidP="00494994">
            <w:pPr>
              <w:jc w:val="right"/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333.925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AB2807" w14:textId="77777777" w:rsidR="00494994" w:rsidRPr="00494994" w:rsidRDefault="00494994" w:rsidP="00543D65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m2</w:t>
            </w:r>
          </w:p>
        </w:tc>
      </w:tr>
      <w:tr w:rsidR="00494994" w14:paraId="177C63A5" w14:textId="77777777" w:rsidTr="00543D65">
        <w:trPr>
          <w:gridAfter w:val="2"/>
          <w:wAfter w:w="26" w:type="dxa"/>
          <w:trHeight w:val="30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7F0215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bruttó szintterületi mutatóba beszámítandó alapterület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7FA802" w14:textId="77777777" w:rsidR="00494994" w:rsidRPr="00494994" w:rsidRDefault="00494994" w:rsidP="00494994">
            <w:pPr>
              <w:jc w:val="right"/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76.920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5D4066" w14:textId="77777777" w:rsidR="00494994" w:rsidRPr="00494994" w:rsidRDefault="00494994" w:rsidP="00543D65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m2</w:t>
            </w:r>
          </w:p>
        </w:tc>
      </w:tr>
      <w:tr w:rsidR="00494994" w14:paraId="62139858" w14:textId="77777777" w:rsidTr="00543D65">
        <w:trPr>
          <w:gridAfter w:val="2"/>
          <w:wAfter w:w="26" w:type="dxa"/>
          <w:trHeight w:val="30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077B93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értékesíthető, bérelhető nettó terület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1C6695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nem releváns (gyárépület)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983419" w14:textId="77777777" w:rsidR="00494994" w:rsidRPr="00494994" w:rsidRDefault="00494994" w:rsidP="00543D65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m2</w:t>
            </w:r>
          </w:p>
        </w:tc>
      </w:tr>
      <w:tr w:rsidR="00494994" w14:paraId="4FBF933F" w14:textId="77777777" w:rsidTr="00543D65">
        <w:trPr>
          <w:gridAfter w:val="2"/>
          <w:wAfter w:w="26" w:type="dxa"/>
          <w:trHeight w:val="30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C84C13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építési költség, melyből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1DBF72" w14:textId="6DD6B4DE" w:rsidR="00CD69FB" w:rsidRPr="00CD69FB" w:rsidRDefault="001357E2">
            <w:pPr>
              <w:rPr>
                <w:rFonts w:ascii="NimbusSansNovReg" w:hAnsi="NimbusSansNovReg"/>
                <w:b/>
                <w:bCs/>
              </w:rPr>
            </w:pPr>
            <w:r>
              <w:rPr>
                <w:rFonts w:ascii="NimbusSansNovReg" w:hAnsi="NimbusSansNovReg"/>
                <w:b/>
                <w:bCs/>
              </w:rPr>
              <w:t>13.895.437.200</w:t>
            </w:r>
          </w:p>
          <w:p w14:paraId="37C5B66C" w14:textId="78463541" w:rsidR="00494994" w:rsidRPr="00494994" w:rsidRDefault="00494994" w:rsidP="00CD69FB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számított építményérték  a 9/2008(I.26) Korm. rendelet  2. sz melléklete és a 245/2006 (XII.5) Korm. rendelet 1. sz. melléklete szerint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F4286C" w14:textId="60E597C4" w:rsidR="00494994" w:rsidRPr="00CD69FB" w:rsidRDefault="00494994" w:rsidP="00543D65">
            <w:pPr>
              <w:rPr>
                <w:rFonts w:ascii="NimbusSansNovReg" w:hAnsi="NimbusSansNovReg"/>
                <w:b/>
                <w:bCs/>
              </w:rPr>
            </w:pPr>
            <w:r w:rsidRPr="00CD69FB">
              <w:rPr>
                <w:rFonts w:ascii="NimbusSansNovReg" w:hAnsi="NimbusSansNovReg"/>
                <w:b/>
                <w:bCs/>
              </w:rPr>
              <w:t>Ft</w:t>
            </w:r>
            <w:bookmarkStart w:id="1" w:name="_GoBack"/>
            <w:bookmarkEnd w:id="1"/>
          </w:p>
        </w:tc>
      </w:tr>
      <w:tr w:rsidR="00494994" w14:paraId="0330C9FD" w14:textId="77777777" w:rsidTr="00543D65">
        <w:trPr>
          <w:gridAfter w:val="2"/>
          <w:wAfter w:w="26" w:type="dxa"/>
          <w:trHeight w:val="30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80B3D4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        saját erő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7F7A9E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adat nem nyilvános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8FFED9" w14:textId="77777777" w:rsidR="00494994" w:rsidRPr="00494994" w:rsidRDefault="00494994" w:rsidP="00543D65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%</w:t>
            </w:r>
          </w:p>
        </w:tc>
      </w:tr>
      <w:tr w:rsidR="00494994" w14:paraId="4121333F" w14:textId="77777777" w:rsidTr="00543D65">
        <w:trPr>
          <w:gridAfter w:val="2"/>
          <w:wAfter w:w="26" w:type="dxa"/>
          <w:trHeight w:val="30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C1ABC2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        hitel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E6D178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adat nem nyilvános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FEEEF0" w14:textId="77777777" w:rsidR="00494994" w:rsidRPr="00494994" w:rsidRDefault="00494994" w:rsidP="00543D65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%</w:t>
            </w:r>
          </w:p>
        </w:tc>
      </w:tr>
      <w:tr w:rsidR="00494994" w14:paraId="669502FF" w14:textId="77777777" w:rsidTr="00543D65">
        <w:trPr>
          <w:gridAfter w:val="2"/>
          <w:wAfter w:w="26" w:type="dxa"/>
          <w:trHeight w:val="30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B7CB5C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        értékesítésből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01493B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adat nem nyilvános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3636136" w14:textId="77777777" w:rsidR="00494994" w:rsidRPr="00494994" w:rsidRDefault="00494994" w:rsidP="00543D65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%</w:t>
            </w:r>
          </w:p>
        </w:tc>
      </w:tr>
      <w:tr w:rsidR="00494994" w14:paraId="1F057F28" w14:textId="77777777" w:rsidTr="00543D65">
        <w:trPr>
          <w:trHeight w:val="300"/>
        </w:trPr>
        <w:tc>
          <w:tcPr>
            <w:tcW w:w="893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A0DB2E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eladás, bérbeadás állása</w:t>
            </w:r>
          </w:p>
        </w:tc>
      </w:tr>
      <w:tr w:rsidR="00494994" w14:paraId="6D359849" w14:textId="77777777" w:rsidTr="00543D65">
        <w:trPr>
          <w:gridAfter w:val="2"/>
          <w:wAfter w:w="26" w:type="dxa"/>
          <w:trHeight w:val="30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EBD65B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     kivitelezés befejezésekor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8B3D12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nem releváns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B2B77B" w14:textId="77777777" w:rsidR="00494994" w:rsidRPr="00494994" w:rsidRDefault="00494994" w:rsidP="00543D65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%</w:t>
            </w:r>
          </w:p>
        </w:tc>
      </w:tr>
      <w:tr w:rsidR="00494994" w14:paraId="2C64D714" w14:textId="77777777" w:rsidTr="00543D65">
        <w:trPr>
          <w:gridAfter w:val="2"/>
          <w:wAfter w:w="26" w:type="dxa"/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2027F9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     1 évvel később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AA543F" w14:textId="77777777" w:rsidR="00494994" w:rsidRPr="00494994" w:rsidRDefault="00494994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nem releváns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6ED817" w14:textId="77777777" w:rsidR="00494994" w:rsidRPr="00494994" w:rsidRDefault="00494994" w:rsidP="00543D65">
            <w:pPr>
              <w:rPr>
                <w:rFonts w:ascii="NimbusSansNovReg" w:hAnsi="NimbusSansNovReg"/>
              </w:rPr>
            </w:pPr>
            <w:r w:rsidRPr="00494994">
              <w:rPr>
                <w:rFonts w:ascii="NimbusSansNovReg" w:hAnsi="NimbusSansNovReg"/>
              </w:rPr>
              <w:t>%</w:t>
            </w:r>
          </w:p>
        </w:tc>
      </w:tr>
    </w:tbl>
    <w:p w14:paraId="134E6237" w14:textId="4E03E2F5" w:rsidR="00957A8B" w:rsidRPr="00020994" w:rsidRDefault="00957A8B" w:rsidP="00020994">
      <w:pPr>
        <w:pStyle w:val="Cmsor1"/>
        <w:numPr>
          <w:ilvl w:val="0"/>
          <w:numId w:val="5"/>
        </w:numPr>
        <w:tabs>
          <w:tab w:val="left" w:pos="653"/>
        </w:tabs>
        <w:spacing w:before="240" w:after="240"/>
        <w:ind w:hanging="431"/>
        <w:rPr>
          <w:rFonts w:ascii="NimbusSansNovReg" w:hAnsi="NimbusSansNovReg"/>
          <w:color w:val="98BF11"/>
        </w:rPr>
      </w:pPr>
      <w:r w:rsidRPr="00020994">
        <w:rPr>
          <w:rFonts w:ascii="NimbusSansNovReg" w:hAnsi="NimbusSansNovReg"/>
          <w:color w:val="98BF11"/>
        </w:rPr>
        <w:t>A kivitelezés kezdete és befejezése</w:t>
      </w:r>
    </w:p>
    <w:p w14:paraId="0626A4DA" w14:textId="733194AB" w:rsidR="00494994" w:rsidRPr="00494994" w:rsidRDefault="00020994" w:rsidP="00494994">
      <w:pPr>
        <w:pStyle w:val="Szvegtrzs"/>
        <w:spacing w:before="159" w:line="276" w:lineRule="auto"/>
        <w:ind w:left="221" w:right="330"/>
        <w:jc w:val="both"/>
        <w:rPr>
          <w:rFonts w:ascii="NimbusSansNovReg" w:hAnsi="NimbusSansNovReg"/>
        </w:rPr>
      </w:pPr>
      <w:r>
        <w:rPr>
          <w:rFonts w:ascii="NimbusSansNovReg" w:hAnsi="NimbusSansNovReg"/>
        </w:rPr>
        <w:t>2018 -</w:t>
      </w:r>
      <w:r w:rsidR="00494994" w:rsidRPr="00494994">
        <w:rPr>
          <w:rFonts w:ascii="NimbusSansNovReg" w:hAnsi="NimbusSansNovReg"/>
        </w:rPr>
        <w:t xml:space="preserve">2019 </w:t>
      </w:r>
      <w:r>
        <w:rPr>
          <w:rFonts w:ascii="NimbusSansNovReg" w:hAnsi="NimbusSansNovReg"/>
        </w:rPr>
        <w:t>években</w:t>
      </w:r>
    </w:p>
    <w:p w14:paraId="4E109ACF" w14:textId="50E6AF4F" w:rsidR="00020994" w:rsidRDefault="00020994" w:rsidP="00020994">
      <w:pPr>
        <w:pStyle w:val="Cmsor1"/>
        <w:numPr>
          <w:ilvl w:val="0"/>
          <w:numId w:val="5"/>
        </w:numPr>
        <w:tabs>
          <w:tab w:val="left" w:pos="653"/>
        </w:tabs>
        <w:spacing w:before="240" w:after="240"/>
        <w:ind w:hanging="431"/>
        <w:rPr>
          <w:rFonts w:ascii="NimbusSansNovReg" w:hAnsi="NimbusSansNovReg"/>
          <w:color w:val="98BF11"/>
        </w:rPr>
      </w:pPr>
      <w:bookmarkStart w:id="2" w:name="_Hlk49348052"/>
      <w:r w:rsidRPr="00020994">
        <w:rPr>
          <w:rFonts w:ascii="NimbusSansNovReg" w:hAnsi="NimbusSansNovReg"/>
          <w:color w:val="98BF11"/>
        </w:rPr>
        <w:t>Innovatív műszaki és környezettudatos megoldások</w:t>
      </w:r>
    </w:p>
    <w:p w14:paraId="4243341C" w14:textId="27BDFD41" w:rsidR="0036464F" w:rsidRPr="00020994" w:rsidRDefault="00020994" w:rsidP="0036464F">
      <w:pPr>
        <w:pStyle w:val="Szvegtrzs"/>
        <w:ind w:left="221" w:right="330"/>
        <w:jc w:val="both"/>
        <w:rPr>
          <w:rFonts w:ascii="NimbusSansNovReg" w:hAnsi="NimbusSansNovReg"/>
        </w:rPr>
      </w:pPr>
      <w:r>
        <w:rPr>
          <w:rFonts w:ascii="NimbusSansNovReg" w:hAnsi="NimbusSansNovReg"/>
        </w:rPr>
        <w:t xml:space="preserve">A gyártási technológia sajátosságaiból </w:t>
      </w:r>
      <w:r w:rsidR="00D56892">
        <w:rPr>
          <w:rFonts w:ascii="NimbusSansNovReg" w:hAnsi="NimbusSansNovReg"/>
        </w:rPr>
        <w:t>adódó</w:t>
      </w:r>
      <w:r w:rsidRPr="00957A8B">
        <w:rPr>
          <w:rFonts w:ascii="NimbusSansNovReg" w:hAnsi="NimbusSansNovReg"/>
        </w:rPr>
        <w:t xml:space="preserve"> mértékű villamosenergia fogyasztás mellett megújuló energiaforrás alkalmazása nem lehetséges, illetve soha meg nem térülő beruházás lenne.</w:t>
      </w:r>
      <w:r w:rsidR="0036464F">
        <w:rPr>
          <w:rFonts w:ascii="NimbusSansNovReg" w:hAnsi="NimbusSansNovReg"/>
        </w:rPr>
        <w:t xml:space="preserve"> Az irodaépület megvalósításánál a gyártási folyamatok során keletkezett hő visszanyerésével az energiafelhasználást optimalizáltuk.</w:t>
      </w:r>
      <w:r w:rsidR="00471043" w:rsidRPr="00471043">
        <w:rPr>
          <w:rFonts w:eastAsia="Times New Roman"/>
        </w:rPr>
        <w:t xml:space="preserve"> </w:t>
      </w:r>
      <w:r w:rsidR="00471043">
        <w:rPr>
          <w:rFonts w:eastAsia="Times New Roman"/>
        </w:rPr>
        <w:t>A technológiából származó hulladékhővel az épület fűtési energia felvételét csökkentettük.</w:t>
      </w:r>
    </w:p>
    <w:bookmarkEnd w:id="2"/>
    <w:p w14:paraId="411A9BF1" w14:textId="48C8CBDB" w:rsidR="00957A8B" w:rsidRDefault="00957A8B" w:rsidP="00020994">
      <w:pPr>
        <w:pStyle w:val="Cmsor1"/>
        <w:numPr>
          <w:ilvl w:val="0"/>
          <w:numId w:val="5"/>
        </w:numPr>
        <w:tabs>
          <w:tab w:val="left" w:pos="653"/>
        </w:tabs>
        <w:spacing w:before="240" w:after="240"/>
        <w:ind w:hanging="431"/>
        <w:rPr>
          <w:rFonts w:ascii="NimbusSansNovReg" w:hAnsi="NimbusSansNovReg"/>
          <w:color w:val="98BF11"/>
        </w:rPr>
      </w:pPr>
      <w:r w:rsidRPr="00020994">
        <w:rPr>
          <w:rFonts w:ascii="NimbusSansNovReg" w:hAnsi="NimbusSansNovReg"/>
          <w:color w:val="98BF11"/>
        </w:rPr>
        <w:lastRenderedPageBreak/>
        <w:t xml:space="preserve">A fejlesztés finanszírozása és értékesítése, bérbeadása </w:t>
      </w:r>
    </w:p>
    <w:p w14:paraId="085D94B2" w14:textId="06076D67" w:rsidR="00A94596" w:rsidRPr="00020994" w:rsidRDefault="00C77A24" w:rsidP="00A94596">
      <w:pPr>
        <w:pStyle w:val="Szvegtrzs"/>
        <w:ind w:left="221" w:right="330"/>
        <w:jc w:val="both"/>
        <w:rPr>
          <w:rFonts w:ascii="NimbusSansNovReg" w:hAnsi="NimbusSansNovReg"/>
        </w:rPr>
      </w:pPr>
      <w:r>
        <w:rPr>
          <w:rFonts w:ascii="NimbusSansNovReg" w:hAnsi="NimbusSansNovReg"/>
        </w:rPr>
        <w:t xml:space="preserve">A megvalósítást a Fejlesztő saját erőből, banki hitelből és – kiemelt berugházás révén – magyar állami támogatásból finanszírozta, melynek részleteibe a tervezőnek nem volt betekintése. </w:t>
      </w:r>
      <w:r w:rsidR="00A94596">
        <w:rPr>
          <w:rFonts w:ascii="NimbusSansNovReg" w:hAnsi="NimbusSansNovReg"/>
        </w:rPr>
        <w:t>A gyár létesítésének szükségszerűségét a termelés bővítésének igénye indukálta. Az ingatlant az ipari tevékenység végzésére maga a beruházó működteti</w:t>
      </w:r>
      <w:r>
        <w:rPr>
          <w:rFonts w:ascii="NimbusSansNovReg" w:hAnsi="NimbusSansNovReg"/>
        </w:rPr>
        <w:t xml:space="preserve">, emiatt az értékesítés, bérbeadás ezen projekt esetében nem releváns. </w:t>
      </w:r>
    </w:p>
    <w:p w14:paraId="34DD53BA" w14:textId="7E2E3CC2" w:rsidR="00957A8B" w:rsidRPr="00020994" w:rsidRDefault="00957A8B" w:rsidP="00020994">
      <w:pPr>
        <w:pStyle w:val="Cmsor1"/>
        <w:numPr>
          <w:ilvl w:val="0"/>
          <w:numId w:val="5"/>
        </w:numPr>
        <w:tabs>
          <w:tab w:val="left" w:pos="653"/>
        </w:tabs>
        <w:spacing w:before="240" w:after="240"/>
        <w:ind w:hanging="431"/>
        <w:rPr>
          <w:rFonts w:ascii="NimbusSansNovReg" w:hAnsi="NimbusSansNovReg"/>
          <w:color w:val="98BF11"/>
        </w:rPr>
      </w:pPr>
      <w:r w:rsidRPr="00020994">
        <w:rPr>
          <w:rFonts w:ascii="NimbusSansNovReg" w:hAnsi="NimbusSansNovReg"/>
          <w:color w:val="98BF11"/>
        </w:rPr>
        <w:t>Hogyan szolgálja az ingatlanfejlesztés a szűkebb és tágabb környezetét, az életminőség javítását és a közösségi érdekeket.</w:t>
      </w:r>
    </w:p>
    <w:p w14:paraId="7E530CFA" w14:textId="450694C4" w:rsidR="00C77A24" w:rsidRDefault="00C77A24" w:rsidP="00C77A24">
      <w:pPr>
        <w:pStyle w:val="Szvegtrzs"/>
        <w:ind w:left="221" w:right="329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>A</w:t>
      </w:r>
      <w:r>
        <w:rPr>
          <w:rFonts w:ascii="NimbusSansNovReg" w:hAnsi="NimbusSansNovReg"/>
        </w:rPr>
        <w:t xml:space="preserve"> beruházás helyszíne az 5-ös </w:t>
      </w:r>
      <w:r w:rsidRPr="00957A8B">
        <w:rPr>
          <w:rFonts w:ascii="NimbusSansNovReg" w:hAnsi="NimbusSansNovReg"/>
        </w:rPr>
        <w:t>autópálya</w:t>
      </w:r>
      <w:r w:rsidR="00204E23">
        <w:rPr>
          <w:rFonts w:ascii="NimbusSansNovReg" w:hAnsi="NimbusSansNovReg"/>
        </w:rPr>
        <w:t xml:space="preserve"> mentén a </w:t>
      </w:r>
      <w:r>
        <w:rPr>
          <w:rFonts w:ascii="NimbusSansNovReg" w:hAnsi="NimbusSansNovReg"/>
        </w:rPr>
        <w:t>Budapesttől 45 km távolságra levő Újhartyán Ipari Park.</w:t>
      </w:r>
    </w:p>
    <w:p w14:paraId="0D162DD0" w14:textId="77777777" w:rsidR="000E2234" w:rsidRDefault="00C77A24" w:rsidP="00C77A24">
      <w:pPr>
        <w:pStyle w:val="Szvegtrzs"/>
        <w:ind w:left="221" w:right="329"/>
        <w:jc w:val="both"/>
        <w:rPr>
          <w:rFonts w:ascii="NimbusSansNovReg" w:hAnsi="NimbusSansNovReg"/>
        </w:rPr>
      </w:pPr>
      <w:r>
        <w:rPr>
          <w:rFonts w:ascii="NimbusSansNovReg" w:hAnsi="NimbusSansNovReg"/>
        </w:rPr>
        <w:t xml:space="preserve">A német fejlesztésű projektet a nagyrészt sváb nemzetiségű lakosságot képviselő önkormányzat messzemenőleg támogatta, ezáltal biztosítva helyi munkalehetőséget a lakosság számára. Ez hosszú távon az elvándorlás megakadályozását, a város fejlődését fogja elősegíteni. </w:t>
      </w:r>
    </w:p>
    <w:p w14:paraId="5325CEC0" w14:textId="2CF91CA2" w:rsidR="00C77A24" w:rsidRDefault="00C77A24" w:rsidP="00C77A24">
      <w:pPr>
        <w:pStyle w:val="Szvegtrzs"/>
        <w:ind w:left="221" w:right="329"/>
        <w:jc w:val="both"/>
        <w:rPr>
          <w:rFonts w:ascii="NimbusSansNovReg" w:hAnsi="NimbusSansNovReg"/>
        </w:rPr>
      </w:pPr>
      <w:r>
        <w:rPr>
          <w:rFonts w:ascii="NimbusSansNovReg" w:hAnsi="NimbusSansNovReg"/>
        </w:rPr>
        <w:t>A demográfiai és várospolitikai célokon túl a gyenge aranykorona értékű földterületek ipari funkciók telepítésére való felhasználása a város jövőbeni gazdasági fejlődését is elősegíti, a város anyagi lehetőségeinek bővülésével annak infrastruktúrális</w:t>
      </w:r>
      <w:r w:rsidR="000E2234">
        <w:rPr>
          <w:rFonts w:ascii="NimbusSansNovReg" w:hAnsi="NimbusSansNovReg"/>
        </w:rPr>
        <w:t xml:space="preserve"> minőségi javulását</w:t>
      </w:r>
      <w:r>
        <w:rPr>
          <w:rFonts w:ascii="NimbusSansNovReg" w:hAnsi="NimbusSansNovReg"/>
        </w:rPr>
        <w:t xml:space="preserve"> is lehetővé teszi. </w:t>
      </w:r>
    </w:p>
    <w:p w14:paraId="3920CB76" w14:textId="3CA47201" w:rsidR="00204E23" w:rsidRDefault="00204E23" w:rsidP="00C77A24">
      <w:pPr>
        <w:pStyle w:val="Szvegtrzs"/>
        <w:ind w:left="221" w:right="329"/>
        <w:jc w:val="both"/>
        <w:rPr>
          <w:rFonts w:ascii="NimbusSansNovReg" w:hAnsi="NimbusSansNovReg"/>
        </w:rPr>
      </w:pPr>
      <w:r>
        <w:rPr>
          <w:rFonts w:ascii="NimbusSansNovReg" w:hAnsi="NimbusSansNovReg"/>
        </w:rPr>
        <w:t>Nem utolsó sorban szempont az, hogy az elsősorban mezőgazdasági hagyományokkal rendelkező városból érkező munkaerő a korszerű ipari üzemben elsajátíthatja a robotikával támogatott termelés szigorú és kötött, precizitáson alapuló munkafolyamatait, a technológiai fegyelem által megkövetelt, Nyugat Európában általánosan jelen levő munkamorált, ezáltal egy új generációs munkavállalói réteget nevel ki a társadalom részére.</w:t>
      </w:r>
    </w:p>
    <w:p w14:paraId="55C30347" w14:textId="709308BC" w:rsidR="00204E23" w:rsidRDefault="00204E23" w:rsidP="00C77A24">
      <w:pPr>
        <w:pStyle w:val="Szvegtrzs"/>
        <w:ind w:left="221" w:right="329"/>
        <w:jc w:val="both"/>
        <w:rPr>
          <w:rFonts w:ascii="NimbusSansNovReg" w:hAnsi="NimbusSansNovReg"/>
        </w:rPr>
      </w:pPr>
      <w:r>
        <w:rPr>
          <w:rFonts w:ascii="NimbusSansNovReg" w:hAnsi="NimbusSansNovReg"/>
        </w:rPr>
        <w:t xml:space="preserve">A gyár építésének hírére a város hatalmas sváb ünnepet rendezett, melyre hivatalosak voltak a projekt vezetői, építői. Ennek mind </w:t>
      </w:r>
      <w:r w:rsidR="000E2234">
        <w:rPr>
          <w:rFonts w:ascii="NimbusSansNovReg" w:hAnsi="NimbusSansNovReg"/>
        </w:rPr>
        <w:t xml:space="preserve">óriási </w:t>
      </w:r>
      <w:r>
        <w:rPr>
          <w:rFonts w:ascii="NimbusSansNovReg" w:hAnsi="NimbusSansNovReg"/>
        </w:rPr>
        <w:t>közösségépítő szerepe van.</w:t>
      </w:r>
    </w:p>
    <w:p w14:paraId="78896BC4" w14:textId="77777777" w:rsidR="00494994" w:rsidRPr="00494994" w:rsidRDefault="00494994" w:rsidP="00494994">
      <w:pPr>
        <w:pStyle w:val="Cmsor1"/>
        <w:numPr>
          <w:ilvl w:val="0"/>
          <w:numId w:val="5"/>
        </w:numPr>
        <w:tabs>
          <w:tab w:val="left" w:pos="653"/>
        </w:tabs>
        <w:spacing w:before="240" w:after="240"/>
        <w:ind w:hanging="431"/>
        <w:rPr>
          <w:rFonts w:ascii="NimbusSansNovReg" w:hAnsi="NimbusSansNovReg"/>
          <w:color w:val="98BF11"/>
        </w:rPr>
      </w:pPr>
      <w:r w:rsidRPr="00494994">
        <w:rPr>
          <w:rFonts w:ascii="NimbusSansNovReg" w:hAnsi="NimbusSansNovReg"/>
          <w:color w:val="98BF11"/>
        </w:rPr>
        <w:t xml:space="preserve">Építészeti és városfejlesztési koncepció </w:t>
      </w:r>
    </w:p>
    <w:p w14:paraId="4922EFE5" w14:textId="77777777" w:rsidR="00020994" w:rsidRPr="00020994" w:rsidRDefault="00020994" w:rsidP="00020994">
      <w:pPr>
        <w:pStyle w:val="Cmsor2"/>
        <w:numPr>
          <w:ilvl w:val="1"/>
          <w:numId w:val="5"/>
        </w:numPr>
        <w:tabs>
          <w:tab w:val="left" w:pos="796"/>
          <w:tab w:val="left" w:pos="798"/>
        </w:tabs>
        <w:spacing w:before="120" w:after="120"/>
        <w:ind w:left="799" w:hanging="578"/>
        <w:rPr>
          <w:rFonts w:ascii="NimbusSansNovReg" w:hAnsi="NimbusSansNovReg"/>
          <w:b w:val="0"/>
          <w:bCs w:val="0"/>
          <w:color w:val="98BF11"/>
        </w:rPr>
      </w:pPr>
      <w:r w:rsidRPr="00957A8B">
        <w:rPr>
          <w:rFonts w:ascii="NimbusSansNovReg" w:hAnsi="NimbusSansNovReg"/>
          <w:b w:val="0"/>
          <w:bCs w:val="0"/>
          <w:color w:val="98BF11"/>
        </w:rPr>
        <w:t xml:space="preserve">Általános leírás </w:t>
      </w:r>
    </w:p>
    <w:p w14:paraId="5C59F809" w14:textId="77777777" w:rsidR="00020994" w:rsidRPr="00957A8B" w:rsidRDefault="00020994" w:rsidP="00020994">
      <w:pPr>
        <w:pStyle w:val="Szvegtrzs"/>
        <w:ind w:left="221" w:right="330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>Az Óbuda-Újlak zRt egy eredményes pályázatot követően kapta a megbízást a REHAU új újhartyáni gyártócsarnokának tervezésére.</w:t>
      </w:r>
    </w:p>
    <w:p w14:paraId="028D54EE" w14:textId="77777777" w:rsidR="00020994" w:rsidRPr="00957A8B" w:rsidRDefault="00020994" w:rsidP="00020994">
      <w:pPr>
        <w:pStyle w:val="Szvegtrzs"/>
        <w:ind w:left="221" w:right="327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>A tervezéskor alkalmazott műszaki megoldásoknál a kapcsolódó magyar előírások, jogszabályok, szabályzatok és szabványok, valamint az Építtető által rendelkezésre bocsájtott belső előírások – a tervezési fázisnak megfelelő részletezettséggel – kerültek figyelembevételre.</w:t>
      </w:r>
    </w:p>
    <w:p w14:paraId="6B591989" w14:textId="316D06C0" w:rsidR="00D56892" w:rsidRDefault="00020994" w:rsidP="00553D8F">
      <w:pPr>
        <w:ind w:left="221" w:right="328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>A beruházással összefüggő közigazgatási hatósági ügyeket a 442/2017 (12.27.) Korm. rendelet nemzetgazdasági szempontból kiemelt jelentőségű üggyé nyilvánította.</w:t>
      </w:r>
      <w:r w:rsidR="00553D8F">
        <w:rPr>
          <w:rFonts w:ascii="NimbusSansNovReg" w:hAnsi="NimbusSansNovReg"/>
        </w:rPr>
        <w:t xml:space="preserve"> </w:t>
      </w:r>
      <w:r w:rsidRPr="00957A8B">
        <w:rPr>
          <w:rFonts w:ascii="NimbusSansNovReg" w:hAnsi="NimbusSansNovReg"/>
        </w:rPr>
        <w:t>A tervezéskor alkalmazott műszaki megoldások megfelelnek az OTÉK 50.§ (3) bekezdésében meghatározott követelményeknek. Az OTÉK 50.§ (2) bekezdésében meg- határozott</w:t>
      </w:r>
      <w:r>
        <w:rPr>
          <w:rFonts w:ascii="NimbusSansNovReg" w:hAnsi="NimbusSansNovReg"/>
        </w:rPr>
        <w:t xml:space="preserve">, </w:t>
      </w:r>
      <w:r w:rsidRPr="00957A8B">
        <w:rPr>
          <w:rFonts w:ascii="NimbusSansNovReg" w:hAnsi="NimbusSansNovReg"/>
        </w:rPr>
        <w:t>a környezethez kapcsolódás módjára vonatkozó követelmények teljesülnek.</w:t>
      </w:r>
      <w:r w:rsidR="00553D8F">
        <w:rPr>
          <w:rFonts w:ascii="NimbusSansNovReg" w:hAnsi="NimbusSansNovReg"/>
        </w:rPr>
        <w:t xml:space="preserve"> </w:t>
      </w:r>
      <w:r w:rsidR="00D56892">
        <w:rPr>
          <w:rFonts w:ascii="NimbusSansNovReg" w:hAnsi="NimbusSansNovReg"/>
        </w:rPr>
        <w:t xml:space="preserve">A </w:t>
      </w:r>
      <w:r w:rsidR="00D56892" w:rsidRPr="00957A8B">
        <w:rPr>
          <w:rFonts w:ascii="NimbusSansNovReg" w:hAnsi="NimbusSansNovReg"/>
        </w:rPr>
        <w:t>parkolóhely</w:t>
      </w:r>
      <w:r w:rsidR="00D56892">
        <w:rPr>
          <w:rFonts w:ascii="NimbusSansNovReg" w:hAnsi="NimbusSansNovReg"/>
        </w:rPr>
        <w:t xml:space="preserve">ek számának biztosításakor a </w:t>
      </w:r>
      <w:r w:rsidR="00D56892" w:rsidRPr="00957A8B">
        <w:rPr>
          <w:rFonts w:ascii="NimbusSansNovReg" w:hAnsi="NimbusSansNovReg"/>
        </w:rPr>
        <w:t>253/1997. (XII. 20.) Korm. r. (OTÉK) 4. számú melléklet</w:t>
      </w:r>
      <w:r w:rsidR="00D56892">
        <w:rPr>
          <w:rFonts w:ascii="NimbusSansNovReg" w:hAnsi="NimbusSansNovReg"/>
        </w:rPr>
        <w:t>ét vettük figyelembe.</w:t>
      </w:r>
    </w:p>
    <w:p w14:paraId="35379290" w14:textId="153124AC" w:rsidR="00A94596" w:rsidRPr="00A94596" w:rsidRDefault="00A94596" w:rsidP="00A94596">
      <w:pPr>
        <w:pStyle w:val="Cmsor2"/>
        <w:numPr>
          <w:ilvl w:val="1"/>
          <w:numId w:val="5"/>
        </w:numPr>
        <w:tabs>
          <w:tab w:val="left" w:pos="798"/>
          <w:tab w:val="left" w:pos="799"/>
        </w:tabs>
        <w:spacing w:before="120" w:after="120"/>
        <w:ind w:left="799" w:hanging="578"/>
        <w:rPr>
          <w:rFonts w:ascii="NimbusSansNovReg" w:hAnsi="NimbusSansNovReg"/>
          <w:b w:val="0"/>
          <w:bCs w:val="0"/>
          <w:color w:val="98BF11"/>
        </w:rPr>
      </w:pPr>
      <w:r w:rsidRPr="00A94596">
        <w:rPr>
          <w:rFonts w:ascii="NimbusSansNovReg" w:hAnsi="NimbusSansNovReg"/>
          <w:b w:val="0"/>
          <w:bCs w:val="0"/>
          <w:color w:val="98BF11"/>
        </w:rPr>
        <w:t>Koncepció</w:t>
      </w:r>
    </w:p>
    <w:p w14:paraId="2C45BED5" w14:textId="77777777" w:rsidR="00A94596" w:rsidRPr="00957A8B" w:rsidRDefault="00A94596" w:rsidP="00A94596">
      <w:pPr>
        <w:pStyle w:val="Szvegtrzs"/>
        <w:ind w:left="221" w:right="329"/>
        <w:jc w:val="both"/>
        <w:rPr>
          <w:rFonts w:ascii="NimbusSansNovReg" w:hAnsi="NimbusSansNovReg"/>
        </w:rPr>
      </w:pPr>
      <w:r>
        <w:rPr>
          <w:rFonts w:ascii="NimbusSansNovReg" w:hAnsi="NimbusSansNovReg"/>
        </w:rPr>
        <w:t>A koncepció lényege a Magyarország úthálózatának egyik legforgalmasabb erére rátelepülő, jelentős ipari termelést folyató üzem telepítése oly módon, hogy az azt kiszolgáló forgalom a nyugodt, csendes város vérkeringésében ne okozzon zavarokat. A másik fontos szempont egy egy épülettömegben, külső logisztikai útvonalak kiküszöbölésével történő, akadályoktól mentes termelési lánc kialakítása volt. Ennek megfelelően a</w:t>
      </w:r>
      <w:r w:rsidRPr="00957A8B">
        <w:rPr>
          <w:rFonts w:ascii="NimbusSansNovReg" w:hAnsi="NimbusSansNovReg"/>
        </w:rPr>
        <w:t xml:space="preserve"> teljes ipari funkció – beleértve a logisztikai, öltöző, energia- és gépészeti központ funkciókat – egy épület</w:t>
      </w:r>
      <w:r>
        <w:rPr>
          <w:rFonts w:ascii="NimbusSansNovReg" w:hAnsi="NimbusSansNovReg"/>
        </w:rPr>
        <w:t>t</w:t>
      </w:r>
      <w:r w:rsidRPr="00957A8B">
        <w:rPr>
          <w:rFonts w:ascii="NimbusSansNovReg" w:hAnsi="NimbusSansNovReg"/>
        </w:rPr>
        <w:t xml:space="preserve">ömegben tervezett, ezekhez híddal kapcsolva az irodai és kantin funkciókat, </w:t>
      </w:r>
      <w:r>
        <w:rPr>
          <w:rFonts w:ascii="NimbusSansNovReg" w:hAnsi="NimbusSansNovReg"/>
        </w:rPr>
        <w:t>ehhez</w:t>
      </w:r>
      <w:r w:rsidRPr="00957A8B">
        <w:rPr>
          <w:rFonts w:ascii="NimbusSansNovReg" w:hAnsi="NimbusSansNovReg"/>
        </w:rPr>
        <w:t xml:space="preserve"> tartozik a főporta funk</w:t>
      </w:r>
      <w:r>
        <w:rPr>
          <w:rFonts w:ascii="NimbusSansNovReg" w:hAnsi="NimbusSansNovReg"/>
        </w:rPr>
        <w:t>c</w:t>
      </w:r>
      <w:r w:rsidRPr="00957A8B">
        <w:rPr>
          <w:rFonts w:ascii="NimbusSansNovReg" w:hAnsi="NimbusSansNovReg"/>
        </w:rPr>
        <w:t>ió is.</w:t>
      </w:r>
    </w:p>
    <w:p w14:paraId="173EC468" w14:textId="77777777" w:rsidR="00020994" w:rsidRPr="00957A8B" w:rsidRDefault="00020994" w:rsidP="00020994">
      <w:pPr>
        <w:pStyle w:val="Cmsor2"/>
        <w:numPr>
          <w:ilvl w:val="1"/>
          <w:numId w:val="5"/>
        </w:numPr>
        <w:spacing w:before="120" w:after="120"/>
        <w:ind w:left="799" w:hanging="578"/>
        <w:rPr>
          <w:rFonts w:ascii="NimbusSansNovReg" w:hAnsi="NimbusSansNovReg"/>
          <w:b w:val="0"/>
          <w:bCs w:val="0"/>
          <w:color w:val="98BF11"/>
        </w:rPr>
      </w:pPr>
      <w:r w:rsidRPr="00957A8B">
        <w:rPr>
          <w:rFonts w:ascii="NimbusSansNovReg" w:hAnsi="NimbusSansNovReg"/>
          <w:b w:val="0"/>
          <w:bCs w:val="0"/>
          <w:color w:val="98BF11"/>
        </w:rPr>
        <w:lastRenderedPageBreak/>
        <w:t xml:space="preserve">Épülettömeg </w:t>
      </w:r>
    </w:p>
    <w:p w14:paraId="285D8539" w14:textId="0DA810A7" w:rsidR="00DC6318" w:rsidRDefault="00DC6318" w:rsidP="00020994">
      <w:pPr>
        <w:pStyle w:val="Szvegtrzs"/>
        <w:spacing w:before="1"/>
        <w:ind w:left="221" w:right="328"/>
        <w:jc w:val="both"/>
        <w:rPr>
          <w:rFonts w:ascii="NimbusSansNovReg" w:hAnsi="NimbusSansNovReg"/>
        </w:rPr>
      </w:pPr>
      <w:r>
        <w:rPr>
          <w:rFonts w:ascii="NimbusSansNovReg" w:hAnsi="NimbusSansNovReg"/>
        </w:rPr>
        <w:t xml:space="preserve">Az épületegyüttes az 5-ös autópályáról jól látszik. Ezért elsődleges célunk volt olyan tömegformálást adni az épületnek, amely a 3. évezred kezdetének új ipartelepítési szemléletét tükrözi: átláthatóság, rendezettség, </w:t>
      </w:r>
      <w:r w:rsidR="004556D1">
        <w:rPr>
          <w:rFonts w:ascii="NimbusSansNovReg" w:hAnsi="NimbusSansNovReg"/>
        </w:rPr>
        <w:t xml:space="preserve">a funkcionalitás </w:t>
      </w:r>
      <w:r>
        <w:rPr>
          <w:rFonts w:ascii="NimbusSansNovReg" w:hAnsi="NimbusSansNovReg"/>
        </w:rPr>
        <w:t>tisztaság</w:t>
      </w:r>
      <w:r w:rsidR="004556D1">
        <w:rPr>
          <w:rFonts w:ascii="NimbusSansNovReg" w:hAnsi="NimbusSansNovReg"/>
        </w:rPr>
        <w:t>a</w:t>
      </w:r>
      <w:r>
        <w:rPr>
          <w:rFonts w:ascii="NimbusSansNovReg" w:hAnsi="NimbusSansNovReg"/>
        </w:rPr>
        <w:t xml:space="preserve"> és egyértelműség</w:t>
      </w:r>
      <w:r w:rsidR="004556D1">
        <w:rPr>
          <w:rFonts w:ascii="NimbusSansNovReg" w:hAnsi="NimbusSansNovReg"/>
        </w:rPr>
        <w:t>e</w:t>
      </w:r>
      <w:r>
        <w:rPr>
          <w:rFonts w:ascii="NimbusSansNovReg" w:hAnsi="NimbusSansNovReg"/>
        </w:rPr>
        <w:t xml:space="preserve"> jellemzi a</w:t>
      </w:r>
      <w:r w:rsidR="004556D1">
        <w:rPr>
          <w:rFonts w:ascii="NimbusSansNovReg" w:hAnsi="NimbusSansNovReg"/>
        </w:rPr>
        <w:t xml:space="preserve"> tömeget. </w:t>
      </w:r>
    </w:p>
    <w:p w14:paraId="5E01875F" w14:textId="039385BA" w:rsidR="00020994" w:rsidRPr="00957A8B" w:rsidRDefault="00020994" w:rsidP="00020994">
      <w:pPr>
        <w:pStyle w:val="Szvegtrzs"/>
        <w:spacing w:before="1"/>
        <w:ind w:left="221" w:right="328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>A funkció és a gazdaságosság elsődlegessége korlátozott teret hagy az építészeti formai megoldásoknak, sokkal inkább egy rendezett, nyugodt és kompakt kubatúra elérése a cél. Az olyan célirányosan alkalmazott elemek kapnak szerepet, mint az egységes ablak- szemöldökmagaságok, vagy a nem túlzó homlokzati anyaghasználat. Törekedünk egy</w:t>
      </w:r>
      <w:r w:rsidR="004556D1">
        <w:rPr>
          <w:rFonts w:ascii="NimbusSansNovReg" w:hAnsi="NimbusSansNovReg"/>
        </w:rPr>
        <w:t>,</w:t>
      </w:r>
      <w:r w:rsidRPr="00957A8B">
        <w:rPr>
          <w:rFonts w:ascii="NimbusSansNovReg" w:hAnsi="NimbusSansNovReg"/>
        </w:rPr>
        <w:t xml:space="preserve"> az egész üzemet, beleértve a melléképületeket is jellemző egységes, közös építészeti megjelenés kialakítására. Mindazonáltal az épület megjelenésében tükröződnek a mögöttes funkciók.</w:t>
      </w:r>
    </w:p>
    <w:p w14:paraId="1C4902BB" w14:textId="77777777" w:rsidR="004556D1" w:rsidRDefault="004556D1" w:rsidP="00020994">
      <w:pPr>
        <w:pStyle w:val="Szvegtrzs"/>
        <w:ind w:left="221" w:right="330"/>
        <w:jc w:val="both"/>
        <w:rPr>
          <w:rFonts w:ascii="NimbusSansNovReg" w:hAnsi="NimbusSansNovReg"/>
        </w:rPr>
      </w:pPr>
      <w:r>
        <w:rPr>
          <w:rFonts w:ascii="NimbusSansNovReg" w:hAnsi="NimbusSansNovReg"/>
        </w:rPr>
        <w:t>Az anyaghasználat is a funkcionalitást és értékteremtő erőt sugározza: letisztult, arányiban helyesen megfogalmazott fémhomlokzatok az ipari használatot jelzik.</w:t>
      </w:r>
    </w:p>
    <w:p w14:paraId="7BB32D30" w14:textId="2E8415E7" w:rsidR="00020994" w:rsidRPr="00957A8B" w:rsidRDefault="00020994" w:rsidP="00020994">
      <w:pPr>
        <w:pStyle w:val="Szvegtrzs"/>
        <w:ind w:left="221" w:right="330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>Az irodaépület tömege az első emeleten híddal kapcsolódik a gyártócsarnok, azon belül is, a lakkozó mértékadó magasságú tömegéhez.</w:t>
      </w:r>
    </w:p>
    <w:p w14:paraId="23D976F0" w14:textId="77777777" w:rsidR="00020994" w:rsidRPr="004556D1" w:rsidRDefault="00020994" w:rsidP="00020994">
      <w:pPr>
        <w:pStyle w:val="Szvegtrzs"/>
        <w:ind w:left="221" w:right="328"/>
        <w:jc w:val="both"/>
        <w:rPr>
          <w:rFonts w:ascii="NimbusSansNovReg" w:hAnsi="NimbusSansNovReg"/>
          <w:i/>
          <w:iCs/>
        </w:rPr>
      </w:pPr>
      <w:r w:rsidRPr="004556D1">
        <w:rPr>
          <w:rFonts w:ascii="NimbusSansNovReg" w:hAnsi="NimbusSansNovReg"/>
          <w:i/>
          <w:iCs/>
        </w:rPr>
        <w:t>A csarnok határoló falait tekintve fém-szendvicspanel, lábazatnál beton szendvicspanel. A homlokzati paneltartó oszlopok tengely-kiosztásánál figyelembe vesszük a szükséges bejáratok, behajtók nyílásait.</w:t>
      </w:r>
    </w:p>
    <w:p w14:paraId="4928FC95" w14:textId="22E39718" w:rsidR="004F5A3B" w:rsidRPr="00957A8B" w:rsidRDefault="00553D8F" w:rsidP="00C71A4B">
      <w:pPr>
        <w:pStyle w:val="Cmsor2"/>
        <w:numPr>
          <w:ilvl w:val="1"/>
          <w:numId w:val="5"/>
        </w:numPr>
        <w:tabs>
          <w:tab w:val="left" w:pos="797"/>
          <w:tab w:val="left" w:pos="798"/>
        </w:tabs>
        <w:spacing w:before="120" w:after="120"/>
        <w:ind w:left="799" w:hanging="578"/>
        <w:rPr>
          <w:rFonts w:ascii="NimbusSansNovReg" w:hAnsi="NimbusSansNovReg"/>
          <w:b w:val="0"/>
          <w:bCs w:val="0"/>
          <w:color w:val="98BF11"/>
        </w:rPr>
      </w:pPr>
      <w:r>
        <w:rPr>
          <w:rFonts w:ascii="NimbusSansNovReg" w:hAnsi="NimbusSansNovReg"/>
          <w:b w:val="0"/>
          <w:bCs w:val="0"/>
          <w:color w:val="98BF11"/>
        </w:rPr>
        <w:t>T</w:t>
      </w:r>
      <w:r w:rsidR="00032E51" w:rsidRPr="00957A8B">
        <w:rPr>
          <w:rFonts w:ascii="NimbusSansNovReg" w:hAnsi="NimbusSansNovReg"/>
          <w:b w:val="0"/>
          <w:bCs w:val="0"/>
          <w:color w:val="98BF11"/>
        </w:rPr>
        <w:t xml:space="preserve">echnológiai </w:t>
      </w:r>
      <w:r w:rsidR="00020994">
        <w:rPr>
          <w:rFonts w:ascii="NimbusSansNovReg" w:hAnsi="NimbusSansNovReg"/>
          <w:b w:val="0"/>
          <w:bCs w:val="0"/>
          <w:color w:val="98BF11"/>
        </w:rPr>
        <w:t>leírás</w:t>
      </w:r>
    </w:p>
    <w:p w14:paraId="68C9DAC7" w14:textId="75EA2879" w:rsidR="004F5A3B" w:rsidRPr="00957A8B" w:rsidRDefault="00032E51" w:rsidP="00C71A4B">
      <w:pPr>
        <w:pStyle w:val="Szvegtrzs"/>
        <w:ind w:left="221" w:right="329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 xml:space="preserve">A technológiai egységek részletes leírását </w:t>
      </w:r>
      <w:r w:rsidR="00CA5341" w:rsidRPr="00957A8B">
        <w:rPr>
          <w:rFonts w:ascii="NimbusSansNovReg" w:hAnsi="NimbusSansNovReg"/>
        </w:rPr>
        <w:t>az építési engedélyezési</w:t>
      </w:r>
      <w:r w:rsidRPr="00957A8B">
        <w:rPr>
          <w:rFonts w:ascii="NimbusSansNovReg" w:hAnsi="NimbusSansNovReg"/>
        </w:rPr>
        <w:t xml:space="preserve"> dokumentáció</w:t>
      </w:r>
      <w:r w:rsidR="00CA5341" w:rsidRPr="00957A8B">
        <w:rPr>
          <w:rFonts w:ascii="NimbusSansNovReg" w:hAnsi="NimbusSansNovReg"/>
        </w:rPr>
        <w:t xml:space="preserve"> mellékletében csatoltuk. Ez a leírás nem nyilvános, ezért nem része jelen anyagnak. </w:t>
      </w:r>
    </w:p>
    <w:p w14:paraId="21F447B4" w14:textId="175483DA" w:rsidR="00020994" w:rsidRDefault="00032E51" w:rsidP="00C71A4B">
      <w:pPr>
        <w:pStyle w:val="Szvegtrzs"/>
        <w:ind w:left="221" w:right="329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 xml:space="preserve">A technológiai alaprajzokon </w:t>
      </w:r>
      <w:r w:rsidR="00020994">
        <w:rPr>
          <w:rFonts w:ascii="NimbusSansNovReg" w:hAnsi="NimbusSansNovReg"/>
        </w:rPr>
        <w:t>a</w:t>
      </w:r>
      <w:r w:rsidRPr="00957A8B">
        <w:rPr>
          <w:rFonts w:ascii="NimbusSansNovReg" w:hAnsi="NimbusSansNovReg"/>
        </w:rPr>
        <w:t>z elrendezés a termelési folyamatot tükrözi, mely nyugat-kelet irányultságú. Az üzem funkcionális egységei</w:t>
      </w:r>
      <w:r w:rsidR="00485F4E">
        <w:rPr>
          <w:rFonts w:ascii="NimbusSansNovReg" w:hAnsi="NimbusSansNovReg"/>
        </w:rPr>
        <w:t xml:space="preserve"> a következő területekből </w:t>
      </w:r>
      <w:r w:rsidR="00020994">
        <w:rPr>
          <w:rFonts w:ascii="NimbusSansNovReg" w:hAnsi="NimbusSansNovReg"/>
        </w:rPr>
        <w:t>állnak:</w:t>
      </w:r>
    </w:p>
    <w:p w14:paraId="0871DB00" w14:textId="0AC95677" w:rsidR="00CA5341" w:rsidRPr="00020994" w:rsidRDefault="00485F4E" w:rsidP="00F16E0C">
      <w:pPr>
        <w:pStyle w:val="Szvegtrzs"/>
        <w:numPr>
          <w:ilvl w:val="0"/>
          <w:numId w:val="14"/>
        </w:numPr>
        <w:spacing w:before="157"/>
        <w:ind w:right="329"/>
        <w:jc w:val="both"/>
        <w:rPr>
          <w:rFonts w:ascii="NimbusSansNovReg" w:hAnsi="NimbusSansNovReg"/>
        </w:rPr>
      </w:pPr>
      <w:r w:rsidRPr="00020994">
        <w:rPr>
          <w:rFonts w:ascii="NimbusSansNovReg" w:hAnsi="NimbusSansNovReg"/>
        </w:rPr>
        <w:t>Üzemi területek, gyártócsarnokok</w:t>
      </w:r>
      <w:r w:rsidR="00020994" w:rsidRPr="00020994">
        <w:rPr>
          <w:rFonts w:ascii="NimbusSansNovReg" w:hAnsi="NimbusSansNovReg"/>
        </w:rPr>
        <w:t>, ahol az a</w:t>
      </w:r>
      <w:r w:rsidR="00032E51" w:rsidRPr="00020994">
        <w:rPr>
          <w:rFonts w:ascii="NimbusSansNovReg" w:hAnsi="NimbusSansNovReg"/>
        </w:rPr>
        <w:t>z alapvető – technológiával érintett – épületrészek a következők:</w:t>
      </w:r>
      <w:r w:rsidR="00020994" w:rsidRPr="00020994">
        <w:rPr>
          <w:rFonts w:ascii="NimbusSansNovReg" w:hAnsi="NimbusSansNovReg"/>
        </w:rPr>
        <w:t xml:space="preserve"> </w:t>
      </w:r>
      <w:r w:rsidR="00CA5341" w:rsidRPr="00020994">
        <w:rPr>
          <w:rFonts w:ascii="NimbusSansNovReg" w:hAnsi="NimbusSansNovReg"/>
        </w:rPr>
        <w:t>Lakkozó üzem, fröccsöntő üzem, raktárcsarnok és összeszerelő üzem.</w:t>
      </w:r>
    </w:p>
    <w:p w14:paraId="72E5213E" w14:textId="5BD1F66F" w:rsidR="004F5A3B" w:rsidRPr="00957A8B" w:rsidRDefault="00032E51" w:rsidP="00F16E0C">
      <w:pPr>
        <w:pStyle w:val="Szvegtrzs"/>
        <w:numPr>
          <w:ilvl w:val="0"/>
          <w:numId w:val="14"/>
        </w:numPr>
        <w:spacing w:before="157"/>
        <w:ind w:right="329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>Az irodaépület kétszintes, a földszint a csatlakozó terephez képest kiemelt. A földszinten integrált főportával és kantinnal, illetve üzemi konyhával, az első emeleten átközlekedővel a csarnok, illetve öltözők felé és irodafunkcióval kerül kialakításra.</w:t>
      </w:r>
      <w:r w:rsidR="00771EF0" w:rsidRPr="00957A8B">
        <w:rPr>
          <w:rFonts w:ascii="NimbusSansNovReg" w:hAnsi="NimbusSansNovReg"/>
        </w:rPr>
        <w:t xml:space="preserve"> </w:t>
      </w:r>
      <w:r w:rsidRPr="00957A8B">
        <w:rPr>
          <w:rFonts w:ascii="NimbusSansNovReg" w:hAnsi="NimbusSansNovReg"/>
        </w:rPr>
        <w:t>A főporta a meghatározott jogosultágokkal rendelkező személyzet és a látogatók beléptetését hivatott ellátni.</w:t>
      </w:r>
    </w:p>
    <w:p w14:paraId="0B517D19" w14:textId="2E816AB0" w:rsidR="004F5A3B" w:rsidRPr="00957A8B" w:rsidRDefault="00032E51" w:rsidP="00020994">
      <w:pPr>
        <w:pStyle w:val="Szvegtrzs"/>
        <w:numPr>
          <w:ilvl w:val="0"/>
          <w:numId w:val="14"/>
        </w:numPr>
        <w:spacing w:before="157"/>
        <w:ind w:right="329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>Az irodaépületből folyamatos közlekedősávon keresztül érjük el a gyártócsarnok galériaszintjén elhelyezkedő gyártásközeli irodákat, öltözőket és pihenőhelyiségeket</w:t>
      </w:r>
      <w:r w:rsidR="00485F4E">
        <w:rPr>
          <w:rFonts w:ascii="NimbusSansNovReg" w:hAnsi="NimbusSansNovReg"/>
        </w:rPr>
        <w:t xml:space="preserve">. </w:t>
      </w:r>
      <w:r w:rsidRPr="00957A8B">
        <w:rPr>
          <w:rFonts w:ascii="NimbusSansNovReg" w:hAnsi="NimbusSansNovReg"/>
        </w:rPr>
        <w:t xml:space="preserve">Az egyes csarnokrészekben a folyamatos közlekedősávtól függetlenül is készülnek beépített </w:t>
      </w:r>
      <w:r w:rsidR="00771EF0" w:rsidRPr="00957A8B">
        <w:rPr>
          <w:rFonts w:ascii="NimbusSansNovReg" w:hAnsi="NimbusSansNovReg"/>
        </w:rPr>
        <w:t>„</w:t>
      </w:r>
      <w:r w:rsidRPr="00957A8B">
        <w:rPr>
          <w:rFonts w:ascii="NimbusSansNovReg" w:hAnsi="NimbusSansNovReg"/>
        </w:rPr>
        <w:t>dobozok</w:t>
      </w:r>
      <w:r w:rsidR="00771EF0" w:rsidRPr="00957A8B">
        <w:rPr>
          <w:rFonts w:ascii="NimbusSansNovReg" w:hAnsi="NimbusSansNovReg"/>
        </w:rPr>
        <w:t>”, boxok</w:t>
      </w:r>
      <w:r w:rsidRPr="00957A8B">
        <w:rPr>
          <w:rFonts w:ascii="NimbusSansNovReg" w:hAnsi="NimbusSansNovReg"/>
        </w:rPr>
        <w:t xml:space="preserve">. </w:t>
      </w:r>
    </w:p>
    <w:p w14:paraId="30E9E782" w14:textId="4617021B" w:rsidR="004F5A3B" w:rsidRPr="00957A8B" w:rsidRDefault="00020994" w:rsidP="00020994">
      <w:pPr>
        <w:pStyle w:val="Szvegtrzs"/>
        <w:numPr>
          <w:ilvl w:val="0"/>
          <w:numId w:val="14"/>
        </w:numPr>
        <w:spacing w:before="157"/>
        <w:ind w:right="329"/>
        <w:jc w:val="both"/>
        <w:rPr>
          <w:rFonts w:ascii="NimbusSansNovReg" w:hAnsi="NimbusSansNovReg"/>
        </w:rPr>
      </w:pPr>
      <w:r w:rsidRPr="00020994">
        <w:rPr>
          <w:rFonts w:ascii="NimbusSansNovReg" w:hAnsi="NimbusSansNovReg"/>
        </w:rPr>
        <w:t>A t</w:t>
      </w:r>
      <w:r w:rsidR="00032E51" w:rsidRPr="00020994">
        <w:rPr>
          <w:rFonts w:ascii="NimbusSansNovReg" w:hAnsi="NimbusSansNovReg"/>
        </w:rPr>
        <w:t>eherporta</w:t>
      </w:r>
      <w:r w:rsidRPr="00020994">
        <w:rPr>
          <w:rFonts w:ascii="NimbusSansNovReg" w:hAnsi="NimbusSansNovReg"/>
        </w:rPr>
        <w:t xml:space="preserve"> egyrészt </w:t>
      </w:r>
      <w:r>
        <w:rPr>
          <w:rFonts w:ascii="NimbusSansNovReg" w:hAnsi="NimbusSansNovReg"/>
        </w:rPr>
        <w:t xml:space="preserve">a beérkező és távozó teherforgalom ellenőrzésére, másrészt a </w:t>
      </w:r>
      <w:r w:rsidR="00032E51" w:rsidRPr="00957A8B">
        <w:rPr>
          <w:rFonts w:ascii="NimbusSansNovReg" w:hAnsi="NimbusSansNovReg"/>
        </w:rPr>
        <w:t xml:space="preserve">biztonsági személyzet </w:t>
      </w:r>
      <w:r w:rsidR="00771EF0" w:rsidRPr="00957A8B">
        <w:rPr>
          <w:rFonts w:ascii="NimbusSansNovReg" w:hAnsi="NimbusSansNovReg"/>
        </w:rPr>
        <w:t>tartózkodására</w:t>
      </w:r>
      <w:r w:rsidR="00032E51" w:rsidRPr="00957A8B">
        <w:rPr>
          <w:rFonts w:ascii="NimbusSansNovReg" w:hAnsi="NimbusSansNovReg"/>
        </w:rPr>
        <w:t xml:space="preserve"> szolgál, beleértve szociális helyiségeket (öltöző, WC, pihenő), és egy pihenőblokkot a külsős teherautósofőrök részére.</w:t>
      </w:r>
    </w:p>
    <w:p w14:paraId="3CB9E03D" w14:textId="4389555E" w:rsidR="004F5A3B" w:rsidRPr="00957A8B" w:rsidRDefault="00032E51" w:rsidP="00771EF0">
      <w:pPr>
        <w:pStyle w:val="Cmsor2"/>
        <w:numPr>
          <w:ilvl w:val="1"/>
          <w:numId w:val="5"/>
        </w:numPr>
        <w:spacing w:before="120" w:after="120"/>
        <w:ind w:left="799" w:hanging="578"/>
        <w:rPr>
          <w:rFonts w:ascii="NimbusSansNovReg" w:hAnsi="NimbusSansNovReg"/>
          <w:b w:val="0"/>
          <w:bCs w:val="0"/>
          <w:color w:val="98BF11"/>
        </w:rPr>
      </w:pPr>
      <w:r w:rsidRPr="00957A8B">
        <w:rPr>
          <w:rFonts w:ascii="NimbusSansNovReg" w:hAnsi="NimbusSansNovReg"/>
          <w:b w:val="0"/>
          <w:bCs w:val="0"/>
          <w:color w:val="98BF11"/>
        </w:rPr>
        <w:t xml:space="preserve">Közegészségügyi leírás </w:t>
      </w:r>
    </w:p>
    <w:p w14:paraId="4C8AF633" w14:textId="7BD41CD1" w:rsidR="00DE1997" w:rsidRDefault="00032E51" w:rsidP="000E2234">
      <w:pPr>
        <w:pStyle w:val="Szvegtrzs"/>
        <w:spacing w:before="157"/>
        <w:ind w:left="221" w:right="328"/>
        <w:jc w:val="both"/>
        <w:rPr>
          <w:rFonts w:ascii="NimbusSansNovReg" w:hAnsi="NimbusSansNovReg"/>
        </w:rPr>
      </w:pPr>
      <w:r w:rsidRPr="00957A8B">
        <w:rPr>
          <w:rFonts w:ascii="NimbusSansNovReg" w:hAnsi="NimbusSansNovReg"/>
        </w:rPr>
        <w:t>Az Építtető adatszolgáltatása alapján az üzem</w:t>
      </w:r>
      <w:r w:rsidR="00771EF0" w:rsidRPr="00957A8B">
        <w:rPr>
          <w:rFonts w:ascii="NimbusSansNovReg" w:hAnsi="NimbusSansNovReg"/>
        </w:rPr>
        <w:t xml:space="preserve">ben </w:t>
      </w:r>
      <w:r w:rsidRPr="00957A8B">
        <w:rPr>
          <w:rFonts w:ascii="NimbusSansNovReg" w:hAnsi="NimbusSansNovReg"/>
        </w:rPr>
        <w:t>az összes tervezett dolgozói létszám 715 fő.</w:t>
      </w:r>
      <w:r w:rsidR="00020994">
        <w:rPr>
          <w:rFonts w:ascii="NimbusSansNovReg" w:hAnsi="NimbusSansNovReg"/>
        </w:rPr>
        <w:t xml:space="preserve"> A dolgozói számokak megfelelően kerültek kialakításra a </w:t>
      </w:r>
      <w:r w:rsidR="00020994" w:rsidRPr="00020994">
        <w:rPr>
          <w:rFonts w:ascii="NimbusSansNovReg" w:hAnsi="NimbusSansNovReg"/>
        </w:rPr>
        <w:t>p</w:t>
      </w:r>
      <w:r w:rsidR="003777B1" w:rsidRPr="00020994">
        <w:rPr>
          <w:rFonts w:ascii="NimbusSansNovReg" w:hAnsi="NimbusSansNovReg"/>
        </w:rPr>
        <w:t>ihenőhelyiségek</w:t>
      </w:r>
      <w:r w:rsidR="00020994" w:rsidRPr="00020994">
        <w:rPr>
          <w:rFonts w:ascii="NimbusSansNovReg" w:hAnsi="NimbusSansNovReg"/>
        </w:rPr>
        <w:t>, t</w:t>
      </w:r>
      <w:r w:rsidR="003777B1" w:rsidRPr="00020994">
        <w:rPr>
          <w:rFonts w:ascii="NimbusSansNovReg" w:hAnsi="NimbusSansNovReg"/>
        </w:rPr>
        <w:t>eakonyhák</w:t>
      </w:r>
      <w:r w:rsidR="00020994" w:rsidRPr="00020994">
        <w:rPr>
          <w:rFonts w:ascii="NimbusSansNovReg" w:hAnsi="NimbusSansNovReg"/>
        </w:rPr>
        <w:t>, ö</w:t>
      </w:r>
      <w:r w:rsidRPr="00020994">
        <w:rPr>
          <w:rFonts w:ascii="NimbusSansNovReg" w:hAnsi="NimbusSansNovReg"/>
        </w:rPr>
        <w:t>ltözők</w:t>
      </w:r>
      <w:r w:rsidR="00020994" w:rsidRPr="00020994">
        <w:rPr>
          <w:rFonts w:ascii="NimbusSansNovReg" w:hAnsi="NimbusSansNovReg"/>
        </w:rPr>
        <w:t xml:space="preserve"> és v</w:t>
      </w:r>
      <w:r w:rsidRPr="00020994">
        <w:rPr>
          <w:rFonts w:ascii="NimbusSansNovReg" w:hAnsi="NimbusSansNovReg"/>
        </w:rPr>
        <w:t>izesblokkok</w:t>
      </w:r>
      <w:r w:rsidR="00020994">
        <w:rPr>
          <w:rFonts w:ascii="NimbusSansNovReg" w:hAnsi="NimbusSansNovReg"/>
        </w:rPr>
        <w:t xml:space="preserve">. </w:t>
      </w:r>
      <w:r w:rsidRPr="00957A8B">
        <w:rPr>
          <w:rFonts w:ascii="NimbusSansNovReg" w:hAnsi="NimbusSansNovReg"/>
        </w:rPr>
        <w:t>Az épületben 200 adagos főzőkonyha létesül, melyhez egy 70 fő befogadóképességű</w:t>
      </w:r>
      <w:r w:rsidR="00DE1997" w:rsidRPr="00957A8B">
        <w:rPr>
          <w:rFonts w:ascii="NimbusSansNovReg" w:hAnsi="NimbusSansNovReg"/>
        </w:rPr>
        <w:t xml:space="preserve"> </w:t>
      </w:r>
      <w:r w:rsidRPr="00957A8B">
        <w:rPr>
          <w:rFonts w:ascii="NimbusSansNovReg" w:hAnsi="NimbusSansNovReg"/>
        </w:rPr>
        <w:t>étkezőtér kapcsolódik.</w:t>
      </w:r>
      <w:r w:rsidR="00020994">
        <w:rPr>
          <w:rFonts w:ascii="NimbusSansNovReg" w:hAnsi="NimbusSansNovReg"/>
        </w:rPr>
        <w:t xml:space="preserve"> </w:t>
      </w:r>
      <w:r w:rsidRPr="00957A8B">
        <w:rPr>
          <w:rFonts w:ascii="NimbusSansNovReg" w:hAnsi="NimbusSansNovReg"/>
        </w:rPr>
        <w:t>Az épületben az OTÉK 50.§ (1) pontja értelmében akadálymentes zóna nem került meghatározásra.</w:t>
      </w:r>
      <w:r w:rsidR="00020994">
        <w:rPr>
          <w:rFonts w:ascii="NimbusSansNovReg" w:hAnsi="NimbusSansNovReg"/>
        </w:rPr>
        <w:t xml:space="preserve"> </w:t>
      </w:r>
      <w:r w:rsidRPr="00957A8B">
        <w:rPr>
          <w:rFonts w:ascii="NimbusSansNovReg" w:hAnsi="NimbusSansNovReg"/>
        </w:rPr>
        <w:t>A létesítmény a magyar jogszabályoknak megfelelően nemdohányzó-épületegyüttes. Az üzemben használt veszélyes anyagokról a</w:t>
      </w:r>
      <w:r w:rsidR="00491E46" w:rsidRPr="00957A8B">
        <w:rPr>
          <w:rFonts w:ascii="NimbusSansNovReg" w:hAnsi="NimbusSansNovReg"/>
        </w:rPr>
        <w:t>z építési engedélyezési</w:t>
      </w:r>
      <w:r w:rsidRPr="00957A8B">
        <w:rPr>
          <w:rFonts w:ascii="NimbusSansNovReg" w:hAnsi="NimbusSansNovReg"/>
        </w:rPr>
        <w:t xml:space="preserve"> dokumentációhoz külön csatolt SEVESO dokumentum</w:t>
      </w:r>
      <w:r w:rsidR="00491E46" w:rsidRPr="00957A8B">
        <w:rPr>
          <w:rFonts w:ascii="NimbusSansNovReg" w:hAnsi="NimbusSansNovReg"/>
        </w:rPr>
        <w:t xml:space="preserve"> ad információkat. Ezen adatok nem nyilvánosak.</w:t>
      </w:r>
    </w:p>
    <w:p w14:paraId="13626E06" w14:textId="77777777" w:rsidR="000E2234" w:rsidRPr="00957A8B" w:rsidRDefault="000E2234" w:rsidP="000E2234">
      <w:pPr>
        <w:pStyle w:val="Szvegtrzs"/>
        <w:spacing w:before="157"/>
        <w:ind w:left="221" w:right="328"/>
        <w:jc w:val="both"/>
        <w:rPr>
          <w:rFonts w:ascii="NimbusSansNovReg" w:hAnsi="NimbusSansNovReg"/>
          <w:shd w:val="clear" w:color="auto" w:fill="FFFF00"/>
        </w:rPr>
      </w:pPr>
    </w:p>
    <w:p w14:paraId="6F273143" w14:textId="6A01FC93" w:rsidR="00BB54B4" w:rsidRPr="00957A8B" w:rsidRDefault="00F4648D" w:rsidP="00F4648D">
      <w:pPr>
        <w:pStyle w:val="Cmsor2"/>
        <w:numPr>
          <w:ilvl w:val="1"/>
          <w:numId w:val="5"/>
        </w:numPr>
        <w:spacing w:before="120" w:after="120"/>
        <w:ind w:left="799" w:hanging="578"/>
        <w:rPr>
          <w:rFonts w:ascii="NimbusSansNovReg" w:hAnsi="NimbusSansNovReg"/>
          <w:b w:val="0"/>
          <w:bCs w:val="0"/>
          <w:color w:val="98BF11"/>
        </w:rPr>
      </w:pPr>
      <w:r w:rsidRPr="00957A8B">
        <w:rPr>
          <w:rFonts w:ascii="NimbusSansNovReg" w:hAnsi="NimbusSansNovReg"/>
          <w:b w:val="0"/>
          <w:bCs w:val="0"/>
          <w:color w:val="98BF11"/>
        </w:rPr>
        <w:lastRenderedPageBreak/>
        <w:t xml:space="preserve">A gyárkomplexum jellemző adatai, </w:t>
      </w:r>
    </w:p>
    <w:tbl>
      <w:tblPr>
        <w:tblStyle w:val="Rcsostblzat"/>
        <w:tblW w:w="9062" w:type="dxa"/>
        <w:tblInd w:w="279" w:type="dxa"/>
        <w:tblLook w:val="04A0" w:firstRow="1" w:lastRow="0" w:firstColumn="1" w:lastColumn="0" w:noHBand="0" w:noVBand="1"/>
      </w:tblPr>
      <w:tblGrid>
        <w:gridCol w:w="4252"/>
        <w:gridCol w:w="4810"/>
      </w:tblGrid>
      <w:tr w:rsidR="00BB54B4" w:rsidRPr="00957A8B" w14:paraId="26B9A9BC" w14:textId="77777777" w:rsidTr="00F16E0C">
        <w:tc>
          <w:tcPr>
            <w:tcW w:w="4252" w:type="dxa"/>
          </w:tcPr>
          <w:p w14:paraId="543221E8" w14:textId="200AA25B" w:rsidR="00BB54B4" w:rsidRPr="00957A8B" w:rsidRDefault="00BB54B4" w:rsidP="00D74C19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 xml:space="preserve">Jellemző méretei (szerkezeti raszter) </w:t>
            </w:r>
          </w:p>
        </w:tc>
        <w:tc>
          <w:tcPr>
            <w:tcW w:w="4810" w:type="dxa"/>
          </w:tcPr>
          <w:p w14:paraId="4AB8985B" w14:textId="012A2423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 főépület teljes befoglaló mérete kb. 174,00 x 430,00 m. Jellemzően 12x30 m-es tengelytávolsággal kiosztott, előregyártott vasbeton szerkezettel, a vasbeton tetőgerendák alsó síkja által meghatározott szabad belmagasság 10,00 m, 13,00 m attikamagassággal (egyes épületrészek ettől eltérnek).</w:t>
            </w:r>
          </w:p>
        </w:tc>
      </w:tr>
      <w:tr w:rsidR="00BB54B4" w:rsidRPr="00957A8B" w14:paraId="6EDF58BA" w14:textId="77777777" w:rsidTr="00F16E0C">
        <w:tc>
          <w:tcPr>
            <w:tcW w:w="4252" w:type="dxa"/>
          </w:tcPr>
          <w:p w14:paraId="3BB1607F" w14:textId="4057DC2D" w:rsidR="00BB54B4" w:rsidRPr="00957A8B" w:rsidRDefault="00BB54B4" w:rsidP="00D74C19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Szerkezet</w:t>
            </w:r>
          </w:p>
          <w:p w14:paraId="1ECFC1C1" w14:textId="77777777" w:rsidR="00BB54B4" w:rsidRPr="00957A8B" w:rsidRDefault="00BB54B4" w:rsidP="00D74C19">
            <w:pPr>
              <w:pStyle w:val="Szvegtrzs"/>
              <w:rPr>
                <w:rFonts w:ascii="NimbusSansNovReg" w:hAnsi="NimbusSansNovReg"/>
              </w:rPr>
            </w:pPr>
          </w:p>
        </w:tc>
        <w:tc>
          <w:tcPr>
            <w:tcW w:w="4810" w:type="dxa"/>
          </w:tcPr>
          <w:p w14:paraId="775ABBB0" w14:textId="7E6B893F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Általában előregyártott vasbeton váz, szükséges helyeken acél- ill. monolit vasbeton szerkezettel. Az épületek pillérváza alatti kehelyalapok mélyalapozásra ülnek. A cölöpözés technológiája a későbbi ütemekben pontosodik.</w:t>
            </w:r>
          </w:p>
        </w:tc>
      </w:tr>
      <w:tr w:rsidR="00BB54B4" w:rsidRPr="00957A8B" w14:paraId="2BBD4501" w14:textId="77777777" w:rsidTr="00F16E0C">
        <w:tc>
          <w:tcPr>
            <w:tcW w:w="4252" w:type="dxa"/>
          </w:tcPr>
          <w:p w14:paraId="095BD946" w14:textId="50E1F917" w:rsidR="00BB54B4" w:rsidRPr="00957A8B" w:rsidRDefault="00BB54B4" w:rsidP="00D74C19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Dolgozói létszámadatok</w:t>
            </w:r>
          </w:p>
          <w:p w14:paraId="23AB1618" w14:textId="77777777" w:rsidR="00BB54B4" w:rsidRPr="00957A8B" w:rsidRDefault="00BB54B4" w:rsidP="00D74C19">
            <w:pPr>
              <w:pStyle w:val="Szvegtrzs"/>
              <w:rPr>
                <w:rFonts w:ascii="NimbusSansNovReg" w:hAnsi="NimbusSansNovReg"/>
              </w:rPr>
            </w:pPr>
          </w:p>
        </w:tc>
        <w:tc>
          <w:tcPr>
            <w:tcW w:w="4810" w:type="dxa"/>
          </w:tcPr>
          <w:p w14:paraId="15F9D06B" w14:textId="7E7D21C8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Összesen 715 munkahely létesül. 435 fő három műszakban (3x145), 156 fő két műszakban (2x78) + 97 fő irodai dolgozó.</w:t>
            </w:r>
          </w:p>
        </w:tc>
      </w:tr>
      <w:tr w:rsidR="00BB54B4" w:rsidRPr="00957A8B" w14:paraId="6AA98D77" w14:textId="77777777" w:rsidTr="00F16E0C">
        <w:tc>
          <w:tcPr>
            <w:tcW w:w="4252" w:type="dxa"/>
          </w:tcPr>
          <w:p w14:paraId="170D10AE" w14:textId="77777777" w:rsidR="00BB54B4" w:rsidRPr="00957A8B" w:rsidRDefault="00BB54B4" w:rsidP="00B66CC1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Helyiségigények és funkcionális kapcsolatok</w:t>
            </w:r>
          </w:p>
        </w:tc>
        <w:tc>
          <w:tcPr>
            <w:tcW w:w="4810" w:type="dxa"/>
          </w:tcPr>
          <w:p w14:paraId="6B45AA77" w14:textId="081DCBB0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 három fő funkció - a fröccsöntő, lakkozó és összes</w:t>
            </w:r>
            <w:r w:rsidR="00D74C19" w:rsidRPr="00957A8B">
              <w:rPr>
                <w:rFonts w:ascii="NimbusSansNovReg" w:hAnsi="NimbusSansNovReg"/>
              </w:rPr>
              <w:t>z</w:t>
            </w:r>
            <w:r w:rsidRPr="00957A8B">
              <w:rPr>
                <w:rFonts w:ascii="NimbusSansNovReg" w:hAnsi="NimbusSansNovReg"/>
              </w:rPr>
              <w:t>erelő - három oldalról fogják közre a csarnokot. A be- és kiszállítás és a raktározás helyiségigényei és funkcionális kapcsolatai a elsősorban a technológiai igényekből fakadnak. Ehhez kapcsolódnak még kiegészítő funkcióként a gépészeti, irodai és szociális helyiségcsoportok.</w:t>
            </w:r>
          </w:p>
        </w:tc>
      </w:tr>
      <w:tr w:rsidR="00BB54B4" w:rsidRPr="00957A8B" w14:paraId="14301196" w14:textId="77777777" w:rsidTr="00F16E0C">
        <w:tc>
          <w:tcPr>
            <w:tcW w:w="4252" w:type="dxa"/>
          </w:tcPr>
          <w:p w14:paraId="05A5005A" w14:textId="77777777" w:rsidR="00BB54B4" w:rsidRPr="00957A8B" w:rsidRDefault="00BB54B4" w:rsidP="00B66CC1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Az építményben üzemelő technológiák</w:t>
            </w:r>
          </w:p>
        </w:tc>
        <w:tc>
          <w:tcPr>
            <w:tcW w:w="4810" w:type="dxa"/>
          </w:tcPr>
          <w:p w14:paraId="260B2250" w14:textId="77777777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 Megrendelő által megadott a gyártáshoz szükséges technológiák tervezése történik, pl. sűrített levegő, technológiai leírás szerint.</w:t>
            </w:r>
          </w:p>
        </w:tc>
      </w:tr>
      <w:tr w:rsidR="00BB54B4" w:rsidRPr="00957A8B" w14:paraId="6519840C" w14:textId="77777777" w:rsidTr="00F16E0C">
        <w:tc>
          <w:tcPr>
            <w:tcW w:w="4252" w:type="dxa"/>
          </w:tcPr>
          <w:p w14:paraId="131F55A7" w14:textId="77777777" w:rsidR="00BB54B4" w:rsidRPr="00957A8B" w:rsidRDefault="00BB54B4" w:rsidP="00B66CC1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Akadálymentesség</w:t>
            </w:r>
          </w:p>
        </w:tc>
        <w:tc>
          <w:tcPr>
            <w:tcW w:w="4810" w:type="dxa"/>
          </w:tcPr>
          <w:p w14:paraId="211CB35C" w14:textId="2185E514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Az üzem veszélyessége miatt akadálymentes munkahelyek a gyárban és a termelésközeli irodákban nem kerülnek kialakításra. Komplex akadálymentesítés nem létesül.</w:t>
            </w:r>
          </w:p>
        </w:tc>
      </w:tr>
      <w:tr w:rsidR="00BB54B4" w:rsidRPr="00957A8B" w14:paraId="43E31F7F" w14:textId="77777777" w:rsidTr="00F16E0C">
        <w:tc>
          <w:tcPr>
            <w:tcW w:w="4252" w:type="dxa"/>
          </w:tcPr>
          <w:p w14:paraId="1EEB9FF8" w14:textId="77777777" w:rsidR="00BB54B4" w:rsidRPr="00957A8B" w:rsidRDefault="00BB54B4" w:rsidP="00B66CC1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Közútkapcsolati és parkolási igények</w:t>
            </w:r>
          </w:p>
        </w:tc>
        <w:tc>
          <w:tcPr>
            <w:tcW w:w="4810" w:type="dxa"/>
          </w:tcPr>
          <w:p w14:paraId="5064BE3E" w14:textId="77777777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 tervezési terület az északkeleti oldalon meglévő, illetve kiegészítésre kerülő aszfalt burkolatú Japán fasorról nyíló a közforgalom számára megnyitott magánúttal feltárt dolgozói parkolón keresztül, illetve a teherportán keresztül 2 db új kapubehajtóval közelíthető meg. A személyporta a telek észak-keleti oldalán az irodaépületbe integrálva kerül kialakításra, a teherporta pedig a telek dél-keleti oldalán. Az OTÉK előírásai szerint a parkolóhelyigény 270 db. Az Építtető igényeihez alakítva 291 parkolóhely létesül.</w:t>
            </w:r>
          </w:p>
        </w:tc>
      </w:tr>
      <w:tr w:rsidR="00BB54B4" w:rsidRPr="00957A8B" w14:paraId="4428882A" w14:textId="77777777" w:rsidTr="00F16E0C">
        <w:tc>
          <w:tcPr>
            <w:tcW w:w="4252" w:type="dxa"/>
          </w:tcPr>
          <w:p w14:paraId="63DB531E" w14:textId="405F807E" w:rsidR="00BB54B4" w:rsidRPr="00957A8B" w:rsidRDefault="00BB54B4" w:rsidP="00B66CC1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Vagyonbiztonsági</w:t>
            </w:r>
            <w:r w:rsidR="00721137" w:rsidRPr="00957A8B">
              <w:rPr>
                <w:rFonts w:ascii="NimbusSansNovReg" w:hAnsi="NimbusSansNovReg"/>
              </w:rPr>
              <w:t xml:space="preserve"> </w:t>
            </w:r>
            <w:r w:rsidRPr="00957A8B">
              <w:rPr>
                <w:rFonts w:ascii="NimbusSansNovReg" w:hAnsi="NimbusSansNovReg"/>
              </w:rPr>
              <w:t>elvárások</w:t>
            </w:r>
          </w:p>
        </w:tc>
        <w:tc>
          <w:tcPr>
            <w:tcW w:w="4810" w:type="dxa"/>
          </w:tcPr>
          <w:p w14:paraId="701093AA" w14:textId="77777777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Az alábbi rendszerek kerülnek telepítésre:</w:t>
            </w:r>
          </w:p>
          <w:p w14:paraId="46FDE4EE" w14:textId="77777777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tűzjelző rendszer – a teljes épületre, gázzal oltó rendszer – egyes területeken, sprinkler</w:t>
            </w:r>
          </w:p>
          <w:p w14:paraId="32716B27" w14:textId="18BFCC01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– az iroda kivételével a teljes területen, CCTV rendszer – teljes területen, IP kamerarendszer – teljes területen, beléptető rendszer – a teljes területen</w:t>
            </w:r>
          </w:p>
        </w:tc>
      </w:tr>
      <w:tr w:rsidR="00BB54B4" w:rsidRPr="00957A8B" w14:paraId="73BAA8B6" w14:textId="77777777" w:rsidTr="00F16E0C">
        <w:tc>
          <w:tcPr>
            <w:tcW w:w="4252" w:type="dxa"/>
          </w:tcPr>
          <w:p w14:paraId="61FC9AA8" w14:textId="3303ACFE" w:rsidR="00BB54B4" w:rsidRPr="00957A8B" w:rsidRDefault="00BB54B4" w:rsidP="00B66CC1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</w:t>
            </w:r>
            <w:r w:rsidR="00F16E0C">
              <w:rPr>
                <w:rFonts w:ascii="NimbusSansNovReg" w:hAnsi="NimbusSansNovReg"/>
              </w:rPr>
              <w:t xml:space="preserve"> </w:t>
            </w:r>
            <w:r w:rsidRPr="00957A8B">
              <w:rPr>
                <w:rFonts w:ascii="NimbusSansNovReg" w:hAnsi="NimbusSansNovReg"/>
              </w:rPr>
              <w:t>tervezendő</w:t>
            </w:r>
            <w:r w:rsidR="00F16E0C">
              <w:rPr>
                <w:rFonts w:ascii="NimbusSansNovReg" w:hAnsi="NimbusSansNovReg"/>
              </w:rPr>
              <w:t xml:space="preserve"> </w:t>
            </w:r>
            <w:r w:rsidRPr="00957A8B">
              <w:rPr>
                <w:rFonts w:ascii="NimbusSansNovReg" w:hAnsi="NimbusSansNovReg"/>
              </w:rPr>
              <w:t>építmény használatának, üzemeltetésének feltételei</w:t>
            </w:r>
          </w:p>
        </w:tc>
        <w:tc>
          <w:tcPr>
            <w:tcW w:w="4810" w:type="dxa"/>
          </w:tcPr>
          <w:p w14:paraId="32C61259" w14:textId="77777777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 xml:space="preserve">A tervek az építmény rendeltetésszerű használatához szükséges kialakításra vonatkozó </w:t>
            </w:r>
            <w:r w:rsidRPr="00957A8B">
              <w:rPr>
                <w:rFonts w:ascii="NimbusSansNovReg" w:hAnsi="NimbusSansNovReg"/>
              </w:rPr>
              <w:lastRenderedPageBreak/>
              <w:t>megoldásokat tartalmaznak.</w:t>
            </w:r>
          </w:p>
        </w:tc>
      </w:tr>
      <w:tr w:rsidR="00BB54B4" w:rsidRPr="00957A8B" w14:paraId="7C171F15" w14:textId="77777777" w:rsidTr="00F16E0C">
        <w:tc>
          <w:tcPr>
            <w:tcW w:w="4252" w:type="dxa"/>
          </w:tcPr>
          <w:p w14:paraId="5AE739CA" w14:textId="77777777" w:rsidR="00BB54B4" w:rsidRPr="00957A8B" w:rsidRDefault="00BB54B4" w:rsidP="00B66CC1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lastRenderedPageBreak/>
              <w:t>Az elvárt követelmények, beleértve az élettartalmi igényeket</w:t>
            </w:r>
          </w:p>
        </w:tc>
        <w:tc>
          <w:tcPr>
            <w:tcW w:w="4810" w:type="dxa"/>
          </w:tcPr>
          <w:p w14:paraId="73A0D4F8" w14:textId="77777777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Az OTÉK, a magyar jogszabályok és általában a magyar szabványok előírásainak megfelelőek, az ettől való eltérés a tervben külön jelezve van.</w:t>
            </w:r>
          </w:p>
        </w:tc>
      </w:tr>
      <w:tr w:rsidR="00BB54B4" w:rsidRPr="00957A8B" w14:paraId="79EFC9CA" w14:textId="77777777" w:rsidTr="00F16E0C">
        <w:tc>
          <w:tcPr>
            <w:tcW w:w="4252" w:type="dxa"/>
          </w:tcPr>
          <w:p w14:paraId="1E106589" w14:textId="77777777" w:rsidR="00BB54B4" w:rsidRPr="00957A8B" w:rsidRDefault="00BB54B4" w:rsidP="00B66CC1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Az elvárt követelményeknek való megfelelőség igazolásának módja</w:t>
            </w:r>
          </w:p>
        </w:tc>
        <w:tc>
          <w:tcPr>
            <w:tcW w:w="4810" w:type="dxa"/>
          </w:tcPr>
          <w:p w14:paraId="76140AD0" w14:textId="77777777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 részletes szabványhivatkozásokat és az azoknak való megfelelés módját az egyes szakági fejezetek tartalmazzák.</w:t>
            </w:r>
          </w:p>
        </w:tc>
      </w:tr>
      <w:tr w:rsidR="00BB54B4" w:rsidRPr="00957A8B" w14:paraId="06EC796A" w14:textId="77777777" w:rsidTr="00F16E0C">
        <w:tc>
          <w:tcPr>
            <w:tcW w:w="4252" w:type="dxa"/>
          </w:tcPr>
          <w:p w14:paraId="7F1D50E0" w14:textId="77777777" w:rsidR="00BB54B4" w:rsidRPr="00957A8B" w:rsidRDefault="00BB54B4" w:rsidP="00B66CC1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 tervezési és az építési tevékenység ütemezése</w:t>
            </w:r>
          </w:p>
        </w:tc>
        <w:tc>
          <w:tcPr>
            <w:tcW w:w="4810" w:type="dxa"/>
          </w:tcPr>
          <w:p w14:paraId="22B4A361" w14:textId="77777777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 tervezés és az építés egy ütemben tervezett. A távlati fejlesztések nem képezik jelen tervezés tárgyát</w:t>
            </w:r>
          </w:p>
        </w:tc>
      </w:tr>
      <w:tr w:rsidR="00BB54B4" w:rsidRPr="00957A8B" w14:paraId="21AF4596" w14:textId="77777777" w:rsidTr="00F16E0C">
        <w:tc>
          <w:tcPr>
            <w:tcW w:w="4252" w:type="dxa"/>
          </w:tcPr>
          <w:p w14:paraId="38FA7B53" w14:textId="77777777" w:rsidR="00BB54B4" w:rsidRPr="00957A8B" w:rsidRDefault="00BB54B4" w:rsidP="00B66CC1">
            <w:pPr>
              <w:pStyle w:val="Szvegtrzs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 helyszínen fennálló régészeti érintettség vagy védelem ténye</w:t>
            </w:r>
          </w:p>
        </w:tc>
        <w:tc>
          <w:tcPr>
            <w:tcW w:w="4810" w:type="dxa"/>
          </w:tcPr>
          <w:p w14:paraId="7C59F23F" w14:textId="77777777" w:rsidR="00BB54B4" w:rsidRPr="00957A8B" w:rsidRDefault="00BB54B4" w:rsidP="00D74C19">
            <w:pPr>
              <w:pStyle w:val="Szvegtrzs"/>
              <w:jc w:val="both"/>
              <w:rPr>
                <w:rFonts w:ascii="NimbusSansNovReg" w:hAnsi="NimbusSansNovReg"/>
              </w:rPr>
            </w:pPr>
            <w:r w:rsidRPr="00957A8B">
              <w:rPr>
                <w:rFonts w:ascii="NimbusSansNovReg" w:hAnsi="NimbusSansNovReg"/>
              </w:rPr>
              <w:t>A helyszín a Budavári Ingatlanfejlesztő és Üzemeltető Nonprofit Kft. nyilatkozata alapján régészetileg nem érintett vagy védett.</w:t>
            </w:r>
          </w:p>
        </w:tc>
      </w:tr>
    </w:tbl>
    <w:p w14:paraId="56327A93" w14:textId="77777777" w:rsidR="00BB54B4" w:rsidRPr="00957A8B" w:rsidRDefault="00BB54B4" w:rsidP="00BB54B4">
      <w:pPr>
        <w:pStyle w:val="Szvegtrzs"/>
        <w:rPr>
          <w:rFonts w:ascii="NimbusSansNovReg" w:hAnsi="NimbusSansNovReg"/>
        </w:rPr>
      </w:pPr>
    </w:p>
    <w:p w14:paraId="69952B26" w14:textId="77777777" w:rsidR="00BB54B4" w:rsidRPr="00957A8B" w:rsidRDefault="00BB54B4" w:rsidP="00BB54B4">
      <w:pPr>
        <w:pStyle w:val="Szvegtrzs"/>
        <w:rPr>
          <w:rFonts w:ascii="NimbusSansNovReg" w:hAnsi="NimbusSansNovReg"/>
        </w:rPr>
      </w:pPr>
    </w:p>
    <w:p w14:paraId="1AA5312A" w14:textId="77777777" w:rsidR="00BB54B4" w:rsidRPr="00957A8B" w:rsidRDefault="00BB54B4" w:rsidP="00BB54B4">
      <w:pPr>
        <w:pStyle w:val="Szvegtrzs"/>
        <w:rPr>
          <w:rFonts w:ascii="NimbusSansNovReg" w:hAnsi="NimbusSansNovReg"/>
          <w:i/>
          <w:sz w:val="20"/>
        </w:rPr>
      </w:pPr>
    </w:p>
    <w:p w14:paraId="1F8A7CDE" w14:textId="77777777" w:rsidR="00BB54B4" w:rsidRPr="00957A8B" w:rsidRDefault="00BB54B4">
      <w:pPr>
        <w:pStyle w:val="Szvegtrzs"/>
        <w:ind w:left="221" w:right="5903"/>
        <w:rPr>
          <w:rFonts w:ascii="NimbusSansNovReg" w:hAnsi="NimbusSansNovReg"/>
        </w:rPr>
      </w:pPr>
    </w:p>
    <w:sectPr w:rsidR="00BB54B4" w:rsidRPr="00957A8B">
      <w:footerReference w:type="default" r:id="rId8"/>
      <w:pgSz w:w="11910" w:h="16840"/>
      <w:pgMar w:top="1720" w:right="800" w:bottom="1100" w:left="1480" w:header="846" w:footer="91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FFB" w14:textId="77777777" w:rsidR="00E9517E" w:rsidRDefault="00E9517E">
      <w:r>
        <w:separator/>
      </w:r>
    </w:p>
  </w:endnote>
  <w:endnote w:type="continuationSeparator" w:id="0">
    <w:p w14:paraId="1938C1B6" w14:textId="77777777" w:rsidR="00E9517E" w:rsidRDefault="00E95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sNovReg">
    <w:panose1 w:val="020B0503040000020004"/>
    <w:charset w:val="00"/>
    <w:family w:val="swiss"/>
    <w:notTrueType/>
    <w:pitch w:val="variable"/>
    <w:sig w:usb0="000000EF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760900"/>
      <w:docPartObj>
        <w:docPartGallery w:val="Page Numbers (Bottom of Page)"/>
        <w:docPartUnique/>
      </w:docPartObj>
    </w:sdtPr>
    <w:sdtEndPr/>
    <w:sdtContent>
      <w:p w14:paraId="25F0E8B0" w14:textId="02B70160" w:rsidR="00F64BED" w:rsidRDefault="00F64BE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7E2">
          <w:rPr>
            <w:noProof/>
          </w:rPr>
          <w:t>1</w:t>
        </w:r>
        <w:r>
          <w:fldChar w:fldCharType="end"/>
        </w:r>
      </w:p>
    </w:sdtContent>
  </w:sdt>
  <w:p w14:paraId="7BB4BE9C" w14:textId="77777777" w:rsidR="00F64BED" w:rsidRDefault="00F64BE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648C4" w14:textId="77777777" w:rsidR="00E9517E" w:rsidRDefault="00E9517E">
      <w:r>
        <w:separator/>
      </w:r>
    </w:p>
  </w:footnote>
  <w:footnote w:type="continuationSeparator" w:id="0">
    <w:p w14:paraId="65F39787" w14:textId="77777777" w:rsidR="00E9517E" w:rsidRDefault="00E95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1469"/>
    <w:multiLevelType w:val="multilevel"/>
    <w:tmpl w:val="6E1C8EEC"/>
    <w:lvl w:ilvl="0">
      <w:start w:val="5"/>
      <w:numFmt w:val="decimal"/>
      <w:lvlText w:val="%1."/>
      <w:lvlJc w:val="left"/>
      <w:pPr>
        <w:ind w:left="652" w:hanging="431"/>
      </w:pPr>
      <w:rPr>
        <w:rFonts w:ascii="Arial" w:eastAsia="Arial" w:hAnsi="Arial" w:cs="Arial" w:hint="default"/>
        <w:color w:val="98BF11"/>
        <w:spacing w:val="-1"/>
        <w:w w:val="100"/>
        <w:sz w:val="32"/>
        <w:szCs w:val="32"/>
        <w:lang w:val="hu-HU" w:eastAsia="hu-HU" w:bidi="hu-HU"/>
      </w:rPr>
    </w:lvl>
    <w:lvl w:ilvl="1">
      <w:start w:val="1"/>
      <w:numFmt w:val="decimal"/>
      <w:lvlText w:val="%1.%2."/>
      <w:lvlJc w:val="left"/>
      <w:pPr>
        <w:ind w:left="798" w:hanging="577"/>
      </w:pPr>
      <w:rPr>
        <w:rFonts w:ascii="Arial" w:eastAsia="Arial" w:hAnsi="Arial" w:cs="Arial" w:hint="default"/>
        <w:b/>
        <w:bCs/>
        <w:color w:val="98BF11"/>
        <w:w w:val="99"/>
        <w:sz w:val="22"/>
        <w:szCs w:val="22"/>
        <w:lang w:val="hu-HU" w:eastAsia="hu-HU" w:bidi="hu-HU"/>
      </w:rPr>
    </w:lvl>
    <w:lvl w:ilvl="2">
      <w:start w:val="1"/>
      <w:numFmt w:val="decimal"/>
      <w:lvlText w:val="%1.%2.%3."/>
      <w:lvlJc w:val="left"/>
      <w:pPr>
        <w:ind w:left="941" w:hanging="721"/>
      </w:pPr>
      <w:rPr>
        <w:rFonts w:ascii="Arial" w:eastAsia="Arial" w:hAnsi="Arial" w:cs="Arial" w:hint="default"/>
        <w:color w:val="98BF11"/>
        <w:w w:val="99"/>
        <w:sz w:val="22"/>
        <w:szCs w:val="22"/>
        <w:lang w:val="hu-HU" w:eastAsia="hu-HU" w:bidi="hu-HU"/>
      </w:rPr>
    </w:lvl>
    <w:lvl w:ilvl="3">
      <w:numFmt w:val="bullet"/>
      <w:lvlText w:val="•"/>
      <w:lvlJc w:val="left"/>
      <w:pPr>
        <w:ind w:left="2025" w:hanging="721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111" w:hanging="721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196" w:hanging="721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282" w:hanging="721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367" w:hanging="721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453" w:hanging="721"/>
      </w:pPr>
      <w:rPr>
        <w:rFonts w:hint="default"/>
        <w:lang w:val="hu-HU" w:eastAsia="hu-HU" w:bidi="hu-HU"/>
      </w:rPr>
    </w:lvl>
  </w:abstractNum>
  <w:abstractNum w:abstractNumId="1">
    <w:nsid w:val="1C8F489F"/>
    <w:multiLevelType w:val="multilevel"/>
    <w:tmpl w:val="7C4614BA"/>
    <w:lvl w:ilvl="0">
      <w:start w:val="2"/>
      <w:numFmt w:val="decimal"/>
      <w:lvlText w:val="%1"/>
      <w:lvlJc w:val="left"/>
      <w:pPr>
        <w:ind w:left="3289" w:hanging="268"/>
      </w:pPr>
      <w:rPr>
        <w:rFonts w:hint="default"/>
        <w:lang w:val="hu-HU" w:eastAsia="hu-HU" w:bidi="hu-HU"/>
      </w:rPr>
    </w:lvl>
    <w:lvl w:ilvl="1">
      <w:start w:val="1"/>
      <w:numFmt w:val="decimal"/>
      <w:lvlText w:val="%1.%2."/>
      <w:lvlJc w:val="left"/>
      <w:pPr>
        <w:ind w:left="3289" w:hanging="268"/>
      </w:pPr>
      <w:rPr>
        <w:rFonts w:ascii="Arial" w:eastAsia="Arial" w:hAnsi="Arial" w:cs="Arial" w:hint="default"/>
        <w:w w:val="99"/>
        <w:sz w:val="14"/>
        <w:szCs w:val="14"/>
        <w:lang w:val="hu-HU" w:eastAsia="hu-HU" w:bidi="hu-HU"/>
      </w:rPr>
    </w:lvl>
    <w:lvl w:ilvl="2">
      <w:numFmt w:val="bullet"/>
      <w:lvlText w:val="•"/>
      <w:lvlJc w:val="left"/>
      <w:pPr>
        <w:ind w:left="4548" w:hanging="268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5183" w:hanging="268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5817" w:hanging="268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6452" w:hanging="268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7086" w:hanging="268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7721" w:hanging="268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8355" w:hanging="268"/>
      </w:pPr>
      <w:rPr>
        <w:rFonts w:hint="default"/>
        <w:lang w:val="hu-HU" w:eastAsia="hu-HU" w:bidi="hu-HU"/>
      </w:rPr>
    </w:lvl>
  </w:abstractNum>
  <w:abstractNum w:abstractNumId="2">
    <w:nsid w:val="2C602A16"/>
    <w:multiLevelType w:val="multilevel"/>
    <w:tmpl w:val="7F14C60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98BF11"/>
      </w:rPr>
    </w:lvl>
    <w:lvl w:ilvl="1">
      <w:start w:val="3"/>
      <w:numFmt w:val="decimal"/>
      <w:lvlText w:val="%1.%2"/>
      <w:lvlJc w:val="left"/>
      <w:pPr>
        <w:ind w:left="590" w:hanging="480"/>
      </w:pPr>
      <w:rPr>
        <w:rFonts w:hint="default"/>
        <w:color w:val="98BF11"/>
      </w:rPr>
    </w:lvl>
    <w:lvl w:ilvl="2">
      <w:start w:val="1"/>
      <w:numFmt w:val="decimal"/>
      <w:lvlText w:val="%1.%2.%3"/>
      <w:lvlJc w:val="left"/>
      <w:pPr>
        <w:ind w:left="940" w:hanging="720"/>
      </w:pPr>
      <w:rPr>
        <w:rFonts w:hint="default"/>
        <w:color w:val="98BF11"/>
      </w:rPr>
    </w:lvl>
    <w:lvl w:ilvl="3">
      <w:start w:val="1"/>
      <w:numFmt w:val="decimal"/>
      <w:lvlText w:val="%1.%2.%3.%4"/>
      <w:lvlJc w:val="left"/>
      <w:pPr>
        <w:ind w:left="1050" w:hanging="720"/>
      </w:pPr>
      <w:rPr>
        <w:rFonts w:hint="default"/>
        <w:color w:val="98BF11"/>
      </w:rPr>
    </w:lvl>
    <w:lvl w:ilvl="4">
      <w:start w:val="1"/>
      <w:numFmt w:val="decimal"/>
      <w:lvlText w:val="%1.%2.%3.%4.%5"/>
      <w:lvlJc w:val="left"/>
      <w:pPr>
        <w:ind w:left="1520" w:hanging="1080"/>
      </w:pPr>
      <w:rPr>
        <w:rFonts w:hint="default"/>
        <w:color w:val="98BF11"/>
      </w:rPr>
    </w:lvl>
    <w:lvl w:ilvl="5">
      <w:start w:val="1"/>
      <w:numFmt w:val="decimal"/>
      <w:lvlText w:val="%1.%2.%3.%4.%5.%6"/>
      <w:lvlJc w:val="left"/>
      <w:pPr>
        <w:ind w:left="1630" w:hanging="1080"/>
      </w:pPr>
      <w:rPr>
        <w:rFonts w:hint="default"/>
        <w:color w:val="98BF11"/>
      </w:rPr>
    </w:lvl>
    <w:lvl w:ilvl="6">
      <w:start w:val="1"/>
      <w:numFmt w:val="decimal"/>
      <w:lvlText w:val="%1.%2.%3.%4.%5.%6.%7"/>
      <w:lvlJc w:val="left"/>
      <w:pPr>
        <w:ind w:left="2100" w:hanging="1440"/>
      </w:pPr>
      <w:rPr>
        <w:rFonts w:hint="default"/>
        <w:color w:val="98BF11"/>
      </w:rPr>
    </w:lvl>
    <w:lvl w:ilvl="7">
      <w:start w:val="1"/>
      <w:numFmt w:val="decimal"/>
      <w:lvlText w:val="%1.%2.%3.%4.%5.%6.%7.%8"/>
      <w:lvlJc w:val="left"/>
      <w:pPr>
        <w:ind w:left="2210" w:hanging="1440"/>
      </w:pPr>
      <w:rPr>
        <w:rFonts w:hint="default"/>
        <w:color w:val="98BF11"/>
      </w:rPr>
    </w:lvl>
    <w:lvl w:ilvl="8">
      <w:start w:val="1"/>
      <w:numFmt w:val="decimal"/>
      <w:lvlText w:val="%1.%2.%3.%4.%5.%6.%7.%8.%9"/>
      <w:lvlJc w:val="left"/>
      <w:pPr>
        <w:ind w:left="2680" w:hanging="1800"/>
      </w:pPr>
      <w:rPr>
        <w:rFonts w:hint="default"/>
        <w:color w:val="98BF11"/>
      </w:rPr>
    </w:lvl>
  </w:abstractNum>
  <w:abstractNum w:abstractNumId="3">
    <w:nsid w:val="306845A5"/>
    <w:multiLevelType w:val="multilevel"/>
    <w:tmpl w:val="6C5EDBBC"/>
    <w:lvl w:ilvl="0">
      <w:start w:val="2"/>
      <w:numFmt w:val="decimal"/>
      <w:lvlText w:val="%1"/>
      <w:lvlJc w:val="left"/>
      <w:pPr>
        <w:ind w:left="3289" w:hanging="268"/>
      </w:pPr>
      <w:rPr>
        <w:rFonts w:hint="default"/>
        <w:lang w:val="hu-HU" w:eastAsia="hu-HU" w:bidi="hu-HU"/>
      </w:rPr>
    </w:lvl>
    <w:lvl w:ilvl="1">
      <w:start w:val="1"/>
      <w:numFmt w:val="decimal"/>
      <w:lvlText w:val="%1.%2."/>
      <w:lvlJc w:val="left"/>
      <w:pPr>
        <w:ind w:left="3289" w:hanging="268"/>
      </w:pPr>
      <w:rPr>
        <w:rFonts w:ascii="Arial" w:eastAsia="Arial" w:hAnsi="Arial" w:cs="Arial" w:hint="default"/>
        <w:i/>
        <w:spacing w:val="-1"/>
        <w:w w:val="99"/>
        <w:sz w:val="14"/>
        <w:szCs w:val="14"/>
        <w:lang w:val="hu-HU" w:eastAsia="hu-HU" w:bidi="hu-HU"/>
      </w:rPr>
    </w:lvl>
    <w:lvl w:ilvl="2">
      <w:numFmt w:val="bullet"/>
      <w:lvlText w:val="•"/>
      <w:lvlJc w:val="left"/>
      <w:pPr>
        <w:ind w:left="4548" w:hanging="268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5183" w:hanging="268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5817" w:hanging="268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6452" w:hanging="268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7086" w:hanging="268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7721" w:hanging="268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8355" w:hanging="268"/>
      </w:pPr>
      <w:rPr>
        <w:rFonts w:hint="default"/>
        <w:lang w:val="hu-HU" w:eastAsia="hu-HU" w:bidi="hu-HU"/>
      </w:rPr>
    </w:lvl>
  </w:abstractNum>
  <w:abstractNum w:abstractNumId="4">
    <w:nsid w:val="35D202B5"/>
    <w:multiLevelType w:val="multilevel"/>
    <w:tmpl w:val="5EF2DC6E"/>
    <w:lvl w:ilvl="0">
      <w:start w:val="5"/>
      <w:numFmt w:val="decimal"/>
      <w:lvlText w:val="%1"/>
      <w:lvlJc w:val="left"/>
      <w:pPr>
        <w:ind w:left="941" w:hanging="720"/>
      </w:pPr>
      <w:rPr>
        <w:rFonts w:hint="default"/>
        <w:lang w:val="hu-HU" w:eastAsia="hu-HU" w:bidi="hu-HU"/>
      </w:rPr>
    </w:lvl>
    <w:lvl w:ilvl="1">
      <w:start w:val="4"/>
      <w:numFmt w:val="decimal"/>
      <w:lvlText w:val="%1.%2"/>
      <w:lvlJc w:val="left"/>
      <w:pPr>
        <w:ind w:left="941" w:hanging="720"/>
      </w:pPr>
      <w:rPr>
        <w:rFonts w:hint="default"/>
        <w:lang w:val="hu-HU" w:eastAsia="hu-HU" w:bidi="hu-HU"/>
      </w:rPr>
    </w:lvl>
    <w:lvl w:ilvl="2">
      <w:start w:val="7"/>
      <w:numFmt w:val="decimal"/>
      <w:lvlText w:val="%1.%2.%3."/>
      <w:lvlJc w:val="left"/>
      <w:pPr>
        <w:ind w:left="941" w:hanging="720"/>
      </w:pPr>
      <w:rPr>
        <w:rFonts w:hint="default"/>
        <w:w w:val="99"/>
        <w:highlight w:val="yellow"/>
        <w:lang w:val="hu-HU" w:eastAsia="hu-HU" w:bidi="hu-HU"/>
      </w:rPr>
    </w:lvl>
    <w:lvl w:ilvl="3">
      <w:numFmt w:val="bullet"/>
      <w:lvlText w:val="•"/>
      <w:lvlJc w:val="left"/>
      <w:pPr>
        <w:ind w:left="3545" w:hanging="720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4413" w:hanging="720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5282" w:hanging="720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6150" w:hanging="720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7019" w:hanging="720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887" w:hanging="720"/>
      </w:pPr>
      <w:rPr>
        <w:rFonts w:hint="default"/>
        <w:lang w:val="hu-HU" w:eastAsia="hu-HU" w:bidi="hu-HU"/>
      </w:rPr>
    </w:lvl>
  </w:abstractNum>
  <w:abstractNum w:abstractNumId="5">
    <w:nsid w:val="384742D9"/>
    <w:multiLevelType w:val="hybridMultilevel"/>
    <w:tmpl w:val="76564FCC"/>
    <w:lvl w:ilvl="0" w:tplc="C18CBC2A">
      <w:numFmt w:val="bullet"/>
      <w:lvlText w:val=""/>
      <w:lvlJc w:val="left"/>
      <w:pPr>
        <w:ind w:left="941" w:hanging="361"/>
      </w:pPr>
      <w:rPr>
        <w:rFonts w:ascii="Symbol" w:eastAsia="Symbol" w:hAnsi="Symbol" w:cs="Symbol" w:hint="default"/>
        <w:w w:val="99"/>
        <w:sz w:val="22"/>
        <w:szCs w:val="22"/>
        <w:lang w:val="hu-HU" w:eastAsia="hu-HU" w:bidi="hu-HU"/>
      </w:rPr>
    </w:lvl>
    <w:lvl w:ilvl="1" w:tplc="2D1849E8">
      <w:numFmt w:val="bullet"/>
      <w:lvlText w:val="•"/>
      <w:lvlJc w:val="left"/>
      <w:pPr>
        <w:ind w:left="1808" w:hanging="361"/>
      </w:pPr>
      <w:rPr>
        <w:rFonts w:hint="default"/>
        <w:lang w:val="hu-HU" w:eastAsia="hu-HU" w:bidi="hu-HU"/>
      </w:rPr>
    </w:lvl>
    <w:lvl w:ilvl="2" w:tplc="A5B2159E">
      <w:numFmt w:val="bullet"/>
      <w:lvlText w:val="•"/>
      <w:lvlJc w:val="left"/>
      <w:pPr>
        <w:ind w:left="2676" w:hanging="361"/>
      </w:pPr>
      <w:rPr>
        <w:rFonts w:hint="default"/>
        <w:lang w:val="hu-HU" w:eastAsia="hu-HU" w:bidi="hu-HU"/>
      </w:rPr>
    </w:lvl>
    <w:lvl w:ilvl="3" w:tplc="B28E9D9E">
      <w:numFmt w:val="bullet"/>
      <w:lvlText w:val="•"/>
      <w:lvlJc w:val="left"/>
      <w:pPr>
        <w:ind w:left="3545" w:hanging="361"/>
      </w:pPr>
      <w:rPr>
        <w:rFonts w:hint="default"/>
        <w:lang w:val="hu-HU" w:eastAsia="hu-HU" w:bidi="hu-HU"/>
      </w:rPr>
    </w:lvl>
    <w:lvl w:ilvl="4" w:tplc="238C1602">
      <w:numFmt w:val="bullet"/>
      <w:lvlText w:val="•"/>
      <w:lvlJc w:val="left"/>
      <w:pPr>
        <w:ind w:left="4413" w:hanging="361"/>
      </w:pPr>
      <w:rPr>
        <w:rFonts w:hint="default"/>
        <w:lang w:val="hu-HU" w:eastAsia="hu-HU" w:bidi="hu-HU"/>
      </w:rPr>
    </w:lvl>
    <w:lvl w:ilvl="5" w:tplc="A46C2CCA">
      <w:numFmt w:val="bullet"/>
      <w:lvlText w:val="•"/>
      <w:lvlJc w:val="left"/>
      <w:pPr>
        <w:ind w:left="5282" w:hanging="361"/>
      </w:pPr>
      <w:rPr>
        <w:rFonts w:hint="default"/>
        <w:lang w:val="hu-HU" w:eastAsia="hu-HU" w:bidi="hu-HU"/>
      </w:rPr>
    </w:lvl>
    <w:lvl w:ilvl="6" w:tplc="B6708974">
      <w:numFmt w:val="bullet"/>
      <w:lvlText w:val="•"/>
      <w:lvlJc w:val="left"/>
      <w:pPr>
        <w:ind w:left="6150" w:hanging="361"/>
      </w:pPr>
      <w:rPr>
        <w:rFonts w:hint="default"/>
        <w:lang w:val="hu-HU" w:eastAsia="hu-HU" w:bidi="hu-HU"/>
      </w:rPr>
    </w:lvl>
    <w:lvl w:ilvl="7" w:tplc="9E4E7EB6">
      <w:numFmt w:val="bullet"/>
      <w:lvlText w:val="•"/>
      <w:lvlJc w:val="left"/>
      <w:pPr>
        <w:ind w:left="7019" w:hanging="361"/>
      </w:pPr>
      <w:rPr>
        <w:rFonts w:hint="default"/>
        <w:lang w:val="hu-HU" w:eastAsia="hu-HU" w:bidi="hu-HU"/>
      </w:rPr>
    </w:lvl>
    <w:lvl w:ilvl="8" w:tplc="86B696F0">
      <w:numFmt w:val="bullet"/>
      <w:lvlText w:val="•"/>
      <w:lvlJc w:val="left"/>
      <w:pPr>
        <w:ind w:left="7887" w:hanging="361"/>
      </w:pPr>
      <w:rPr>
        <w:rFonts w:hint="default"/>
        <w:lang w:val="hu-HU" w:eastAsia="hu-HU" w:bidi="hu-HU"/>
      </w:rPr>
    </w:lvl>
  </w:abstractNum>
  <w:abstractNum w:abstractNumId="6">
    <w:nsid w:val="3B765087"/>
    <w:multiLevelType w:val="hybridMultilevel"/>
    <w:tmpl w:val="1A3494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C58F3"/>
    <w:multiLevelType w:val="multilevel"/>
    <w:tmpl w:val="F244DE7A"/>
    <w:lvl w:ilvl="0">
      <w:start w:val="5"/>
      <w:numFmt w:val="decimal"/>
      <w:lvlText w:val="%1"/>
      <w:lvlJc w:val="left"/>
      <w:pPr>
        <w:ind w:left="3289" w:hanging="268"/>
      </w:pPr>
      <w:rPr>
        <w:rFonts w:hint="default"/>
        <w:lang w:val="hu-HU" w:eastAsia="hu-HU" w:bidi="hu-HU"/>
      </w:rPr>
    </w:lvl>
    <w:lvl w:ilvl="1">
      <w:start w:val="1"/>
      <w:numFmt w:val="decimal"/>
      <w:lvlText w:val="%1.%2."/>
      <w:lvlJc w:val="left"/>
      <w:pPr>
        <w:ind w:left="3289" w:hanging="268"/>
      </w:pPr>
      <w:rPr>
        <w:rFonts w:ascii="Arial" w:eastAsia="Arial" w:hAnsi="Arial" w:cs="Arial" w:hint="default"/>
        <w:i/>
        <w:spacing w:val="-3"/>
        <w:w w:val="99"/>
        <w:sz w:val="14"/>
        <w:szCs w:val="14"/>
        <w:lang w:val="hu-HU" w:eastAsia="hu-HU" w:bidi="hu-HU"/>
      </w:rPr>
    </w:lvl>
    <w:lvl w:ilvl="2">
      <w:numFmt w:val="bullet"/>
      <w:lvlText w:val="•"/>
      <w:lvlJc w:val="left"/>
      <w:pPr>
        <w:ind w:left="4548" w:hanging="268"/>
      </w:pPr>
      <w:rPr>
        <w:rFonts w:hint="default"/>
        <w:lang w:val="hu-HU" w:eastAsia="hu-HU" w:bidi="hu-HU"/>
      </w:rPr>
    </w:lvl>
    <w:lvl w:ilvl="3">
      <w:numFmt w:val="bullet"/>
      <w:lvlText w:val="•"/>
      <w:lvlJc w:val="left"/>
      <w:pPr>
        <w:ind w:left="5183" w:hanging="268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5817" w:hanging="268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6452" w:hanging="268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7086" w:hanging="268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7721" w:hanging="268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8355" w:hanging="268"/>
      </w:pPr>
      <w:rPr>
        <w:rFonts w:hint="default"/>
        <w:lang w:val="hu-HU" w:eastAsia="hu-HU" w:bidi="hu-HU"/>
      </w:rPr>
    </w:lvl>
  </w:abstractNum>
  <w:abstractNum w:abstractNumId="8">
    <w:nsid w:val="677B2B8C"/>
    <w:multiLevelType w:val="multilevel"/>
    <w:tmpl w:val="A940A58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98BF11"/>
      </w:rPr>
    </w:lvl>
    <w:lvl w:ilvl="1">
      <w:start w:val="3"/>
      <w:numFmt w:val="decimal"/>
      <w:lvlText w:val="%1.%2"/>
      <w:lvlJc w:val="left"/>
      <w:pPr>
        <w:ind w:left="590" w:hanging="480"/>
      </w:pPr>
      <w:rPr>
        <w:rFonts w:hint="default"/>
        <w:color w:val="98BF11"/>
      </w:rPr>
    </w:lvl>
    <w:lvl w:ilvl="2">
      <w:start w:val="1"/>
      <w:numFmt w:val="decimal"/>
      <w:lvlText w:val="%1.%2.%3"/>
      <w:lvlJc w:val="left"/>
      <w:pPr>
        <w:ind w:left="940" w:hanging="720"/>
      </w:pPr>
      <w:rPr>
        <w:rFonts w:hint="default"/>
        <w:color w:val="98BF11"/>
      </w:rPr>
    </w:lvl>
    <w:lvl w:ilvl="3">
      <w:start w:val="1"/>
      <w:numFmt w:val="decimal"/>
      <w:lvlText w:val="%1.%2.%3.%4"/>
      <w:lvlJc w:val="left"/>
      <w:pPr>
        <w:ind w:left="1050" w:hanging="720"/>
      </w:pPr>
      <w:rPr>
        <w:rFonts w:hint="default"/>
        <w:color w:val="98BF11"/>
      </w:rPr>
    </w:lvl>
    <w:lvl w:ilvl="4">
      <w:start w:val="1"/>
      <w:numFmt w:val="decimal"/>
      <w:lvlText w:val="%1.%2.%3.%4.%5"/>
      <w:lvlJc w:val="left"/>
      <w:pPr>
        <w:ind w:left="1520" w:hanging="1080"/>
      </w:pPr>
      <w:rPr>
        <w:rFonts w:hint="default"/>
        <w:color w:val="98BF11"/>
      </w:rPr>
    </w:lvl>
    <w:lvl w:ilvl="5">
      <w:start w:val="1"/>
      <w:numFmt w:val="decimal"/>
      <w:lvlText w:val="%1.%2.%3.%4.%5.%6"/>
      <w:lvlJc w:val="left"/>
      <w:pPr>
        <w:ind w:left="1630" w:hanging="1080"/>
      </w:pPr>
      <w:rPr>
        <w:rFonts w:hint="default"/>
        <w:color w:val="98BF11"/>
      </w:rPr>
    </w:lvl>
    <w:lvl w:ilvl="6">
      <w:start w:val="1"/>
      <w:numFmt w:val="decimal"/>
      <w:lvlText w:val="%1.%2.%3.%4.%5.%6.%7"/>
      <w:lvlJc w:val="left"/>
      <w:pPr>
        <w:ind w:left="2100" w:hanging="1440"/>
      </w:pPr>
      <w:rPr>
        <w:rFonts w:hint="default"/>
        <w:color w:val="98BF11"/>
      </w:rPr>
    </w:lvl>
    <w:lvl w:ilvl="7">
      <w:start w:val="1"/>
      <w:numFmt w:val="decimal"/>
      <w:lvlText w:val="%1.%2.%3.%4.%5.%6.%7.%8"/>
      <w:lvlJc w:val="left"/>
      <w:pPr>
        <w:ind w:left="2210" w:hanging="1440"/>
      </w:pPr>
      <w:rPr>
        <w:rFonts w:hint="default"/>
        <w:color w:val="98BF11"/>
      </w:rPr>
    </w:lvl>
    <w:lvl w:ilvl="8">
      <w:start w:val="1"/>
      <w:numFmt w:val="decimal"/>
      <w:lvlText w:val="%1.%2.%3.%4.%5.%6.%7.%8.%9"/>
      <w:lvlJc w:val="left"/>
      <w:pPr>
        <w:ind w:left="2680" w:hanging="1800"/>
      </w:pPr>
      <w:rPr>
        <w:rFonts w:hint="default"/>
        <w:color w:val="98BF11"/>
      </w:rPr>
    </w:lvl>
  </w:abstractNum>
  <w:abstractNum w:abstractNumId="9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47105F"/>
    <w:multiLevelType w:val="multilevel"/>
    <w:tmpl w:val="9948D17E"/>
    <w:lvl w:ilvl="0">
      <w:start w:val="1"/>
      <w:numFmt w:val="decimal"/>
      <w:lvlText w:val="%1."/>
      <w:lvlJc w:val="left"/>
      <w:pPr>
        <w:ind w:left="652" w:hanging="432"/>
      </w:pPr>
      <w:rPr>
        <w:rFonts w:ascii="Arial" w:eastAsia="Arial" w:hAnsi="Arial" w:cs="Arial" w:hint="default"/>
        <w:color w:val="98BF11"/>
        <w:spacing w:val="-1"/>
        <w:w w:val="100"/>
        <w:sz w:val="32"/>
        <w:szCs w:val="32"/>
        <w:lang w:val="hu-HU" w:eastAsia="hu-HU" w:bidi="hu-HU"/>
      </w:rPr>
    </w:lvl>
    <w:lvl w:ilvl="1">
      <w:start w:val="1"/>
      <w:numFmt w:val="decimal"/>
      <w:lvlText w:val="%1.%2."/>
      <w:lvlJc w:val="left"/>
      <w:pPr>
        <w:ind w:left="797" w:hanging="576"/>
      </w:pPr>
      <w:rPr>
        <w:rFonts w:ascii="Arial" w:eastAsia="Arial" w:hAnsi="Arial" w:cs="Arial" w:hint="default"/>
        <w:b/>
        <w:bCs/>
        <w:color w:val="98BF11"/>
        <w:w w:val="99"/>
        <w:sz w:val="22"/>
        <w:szCs w:val="22"/>
        <w:lang w:val="hu-HU" w:eastAsia="hu-HU" w:bidi="hu-HU"/>
      </w:rPr>
    </w:lvl>
    <w:lvl w:ilvl="2">
      <w:numFmt w:val="bullet"/>
      <w:lvlText w:val=""/>
      <w:lvlJc w:val="left"/>
      <w:pPr>
        <w:ind w:left="941" w:hanging="361"/>
      </w:pPr>
      <w:rPr>
        <w:rFonts w:ascii="Symbol" w:eastAsia="Symbol" w:hAnsi="Symbol" w:cs="Symbol" w:hint="default"/>
        <w:w w:val="99"/>
        <w:sz w:val="22"/>
        <w:szCs w:val="22"/>
        <w:lang w:val="hu-HU" w:eastAsia="hu-HU" w:bidi="hu-HU"/>
      </w:rPr>
    </w:lvl>
    <w:lvl w:ilvl="3">
      <w:numFmt w:val="bullet"/>
      <w:lvlText w:val="•"/>
      <w:lvlJc w:val="left"/>
      <w:pPr>
        <w:ind w:left="2025" w:hanging="361"/>
      </w:pPr>
      <w:rPr>
        <w:rFonts w:hint="default"/>
        <w:lang w:val="hu-HU" w:eastAsia="hu-HU" w:bidi="hu-HU"/>
      </w:rPr>
    </w:lvl>
    <w:lvl w:ilvl="4">
      <w:numFmt w:val="bullet"/>
      <w:lvlText w:val="•"/>
      <w:lvlJc w:val="left"/>
      <w:pPr>
        <w:ind w:left="3111" w:hanging="361"/>
      </w:pPr>
      <w:rPr>
        <w:rFonts w:hint="default"/>
        <w:lang w:val="hu-HU" w:eastAsia="hu-HU" w:bidi="hu-HU"/>
      </w:rPr>
    </w:lvl>
    <w:lvl w:ilvl="5">
      <w:numFmt w:val="bullet"/>
      <w:lvlText w:val="•"/>
      <w:lvlJc w:val="left"/>
      <w:pPr>
        <w:ind w:left="4196" w:hanging="361"/>
      </w:pPr>
      <w:rPr>
        <w:rFonts w:hint="default"/>
        <w:lang w:val="hu-HU" w:eastAsia="hu-HU" w:bidi="hu-HU"/>
      </w:rPr>
    </w:lvl>
    <w:lvl w:ilvl="6">
      <w:numFmt w:val="bullet"/>
      <w:lvlText w:val="•"/>
      <w:lvlJc w:val="left"/>
      <w:pPr>
        <w:ind w:left="5282" w:hanging="361"/>
      </w:pPr>
      <w:rPr>
        <w:rFonts w:hint="default"/>
        <w:lang w:val="hu-HU" w:eastAsia="hu-HU" w:bidi="hu-HU"/>
      </w:rPr>
    </w:lvl>
    <w:lvl w:ilvl="7">
      <w:numFmt w:val="bullet"/>
      <w:lvlText w:val="•"/>
      <w:lvlJc w:val="left"/>
      <w:pPr>
        <w:ind w:left="6367" w:hanging="361"/>
      </w:pPr>
      <w:rPr>
        <w:rFonts w:hint="default"/>
        <w:lang w:val="hu-HU" w:eastAsia="hu-HU" w:bidi="hu-HU"/>
      </w:rPr>
    </w:lvl>
    <w:lvl w:ilvl="8">
      <w:numFmt w:val="bullet"/>
      <w:lvlText w:val="•"/>
      <w:lvlJc w:val="left"/>
      <w:pPr>
        <w:ind w:left="7453" w:hanging="361"/>
      </w:pPr>
      <w:rPr>
        <w:rFonts w:hint="default"/>
        <w:lang w:val="hu-HU" w:eastAsia="hu-HU" w:bidi="hu-HU"/>
      </w:rPr>
    </w:lvl>
  </w:abstractNum>
  <w:abstractNum w:abstractNumId="11">
    <w:nsid w:val="6E3A63D4"/>
    <w:multiLevelType w:val="hybridMultilevel"/>
    <w:tmpl w:val="1D9C58AE"/>
    <w:lvl w:ilvl="0" w:tplc="82F0CFBE">
      <w:numFmt w:val="bullet"/>
      <w:lvlText w:val=""/>
      <w:lvlJc w:val="left"/>
      <w:pPr>
        <w:ind w:left="941" w:hanging="361"/>
      </w:pPr>
      <w:rPr>
        <w:rFonts w:ascii="Symbol" w:eastAsia="Symbol" w:hAnsi="Symbol" w:cs="Symbol" w:hint="default"/>
        <w:w w:val="99"/>
        <w:sz w:val="22"/>
        <w:szCs w:val="22"/>
        <w:lang w:val="hu-HU" w:eastAsia="hu-HU" w:bidi="hu-HU"/>
      </w:rPr>
    </w:lvl>
    <w:lvl w:ilvl="1" w:tplc="4DB6AF8A">
      <w:numFmt w:val="bullet"/>
      <w:lvlText w:val="•"/>
      <w:lvlJc w:val="left"/>
      <w:pPr>
        <w:ind w:left="1808" w:hanging="361"/>
      </w:pPr>
      <w:rPr>
        <w:rFonts w:hint="default"/>
        <w:lang w:val="hu-HU" w:eastAsia="hu-HU" w:bidi="hu-HU"/>
      </w:rPr>
    </w:lvl>
    <w:lvl w:ilvl="2" w:tplc="B9EC36BC">
      <w:numFmt w:val="bullet"/>
      <w:lvlText w:val="•"/>
      <w:lvlJc w:val="left"/>
      <w:pPr>
        <w:ind w:left="2676" w:hanging="361"/>
      </w:pPr>
      <w:rPr>
        <w:rFonts w:hint="default"/>
        <w:lang w:val="hu-HU" w:eastAsia="hu-HU" w:bidi="hu-HU"/>
      </w:rPr>
    </w:lvl>
    <w:lvl w:ilvl="3" w:tplc="5088E968">
      <w:numFmt w:val="bullet"/>
      <w:lvlText w:val="•"/>
      <w:lvlJc w:val="left"/>
      <w:pPr>
        <w:ind w:left="3545" w:hanging="361"/>
      </w:pPr>
      <w:rPr>
        <w:rFonts w:hint="default"/>
        <w:lang w:val="hu-HU" w:eastAsia="hu-HU" w:bidi="hu-HU"/>
      </w:rPr>
    </w:lvl>
    <w:lvl w:ilvl="4" w:tplc="D82C8AA6">
      <w:numFmt w:val="bullet"/>
      <w:lvlText w:val="•"/>
      <w:lvlJc w:val="left"/>
      <w:pPr>
        <w:ind w:left="4413" w:hanging="361"/>
      </w:pPr>
      <w:rPr>
        <w:rFonts w:hint="default"/>
        <w:lang w:val="hu-HU" w:eastAsia="hu-HU" w:bidi="hu-HU"/>
      </w:rPr>
    </w:lvl>
    <w:lvl w:ilvl="5" w:tplc="9370C42C">
      <w:numFmt w:val="bullet"/>
      <w:lvlText w:val="•"/>
      <w:lvlJc w:val="left"/>
      <w:pPr>
        <w:ind w:left="5282" w:hanging="361"/>
      </w:pPr>
      <w:rPr>
        <w:rFonts w:hint="default"/>
        <w:lang w:val="hu-HU" w:eastAsia="hu-HU" w:bidi="hu-HU"/>
      </w:rPr>
    </w:lvl>
    <w:lvl w:ilvl="6" w:tplc="83E6969A">
      <w:numFmt w:val="bullet"/>
      <w:lvlText w:val="•"/>
      <w:lvlJc w:val="left"/>
      <w:pPr>
        <w:ind w:left="6150" w:hanging="361"/>
      </w:pPr>
      <w:rPr>
        <w:rFonts w:hint="default"/>
        <w:lang w:val="hu-HU" w:eastAsia="hu-HU" w:bidi="hu-HU"/>
      </w:rPr>
    </w:lvl>
    <w:lvl w:ilvl="7" w:tplc="0BA6624A">
      <w:numFmt w:val="bullet"/>
      <w:lvlText w:val="•"/>
      <w:lvlJc w:val="left"/>
      <w:pPr>
        <w:ind w:left="7019" w:hanging="361"/>
      </w:pPr>
      <w:rPr>
        <w:rFonts w:hint="default"/>
        <w:lang w:val="hu-HU" w:eastAsia="hu-HU" w:bidi="hu-HU"/>
      </w:rPr>
    </w:lvl>
    <w:lvl w:ilvl="8" w:tplc="27E00648">
      <w:numFmt w:val="bullet"/>
      <w:lvlText w:val="•"/>
      <w:lvlJc w:val="left"/>
      <w:pPr>
        <w:ind w:left="7887" w:hanging="361"/>
      </w:pPr>
      <w:rPr>
        <w:rFonts w:hint="default"/>
        <w:lang w:val="hu-HU" w:eastAsia="hu-HU" w:bidi="hu-HU"/>
      </w:rPr>
    </w:lvl>
  </w:abstractNum>
  <w:abstractNum w:abstractNumId="12">
    <w:nsid w:val="7BB775D9"/>
    <w:multiLevelType w:val="hybridMultilevel"/>
    <w:tmpl w:val="8B0CE5B0"/>
    <w:lvl w:ilvl="0" w:tplc="040E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3"/>
  </w:num>
  <w:num w:numId="8">
    <w:abstractNumId w:val="1"/>
  </w:num>
  <w:num w:numId="9">
    <w:abstractNumId w:val="2"/>
  </w:num>
  <w:num w:numId="10">
    <w:abstractNumId w:val="8"/>
  </w:num>
  <w:num w:numId="1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3B"/>
    <w:rsid w:val="00020994"/>
    <w:rsid w:val="00032E51"/>
    <w:rsid w:val="000E2234"/>
    <w:rsid w:val="00126AF3"/>
    <w:rsid w:val="001357E2"/>
    <w:rsid w:val="0019208C"/>
    <w:rsid w:val="001A273F"/>
    <w:rsid w:val="00204E23"/>
    <w:rsid w:val="0031362B"/>
    <w:rsid w:val="00341B37"/>
    <w:rsid w:val="0036464F"/>
    <w:rsid w:val="003777B1"/>
    <w:rsid w:val="004556D1"/>
    <w:rsid w:val="00471043"/>
    <w:rsid w:val="00485F4E"/>
    <w:rsid w:val="00486701"/>
    <w:rsid w:val="00491E46"/>
    <w:rsid w:val="00494994"/>
    <w:rsid w:val="004F406F"/>
    <w:rsid w:val="004F5A3B"/>
    <w:rsid w:val="00543D65"/>
    <w:rsid w:val="0054407F"/>
    <w:rsid w:val="00553D8F"/>
    <w:rsid w:val="00721137"/>
    <w:rsid w:val="00771EF0"/>
    <w:rsid w:val="00957A8B"/>
    <w:rsid w:val="00962828"/>
    <w:rsid w:val="0097512C"/>
    <w:rsid w:val="00A606E4"/>
    <w:rsid w:val="00A94596"/>
    <w:rsid w:val="00B34886"/>
    <w:rsid w:val="00BB54B4"/>
    <w:rsid w:val="00C71A4B"/>
    <w:rsid w:val="00C77A24"/>
    <w:rsid w:val="00CA5341"/>
    <w:rsid w:val="00CD69FB"/>
    <w:rsid w:val="00D56892"/>
    <w:rsid w:val="00D74C19"/>
    <w:rsid w:val="00D767F4"/>
    <w:rsid w:val="00DC6318"/>
    <w:rsid w:val="00DE1997"/>
    <w:rsid w:val="00DF57DF"/>
    <w:rsid w:val="00E35184"/>
    <w:rsid w:val="00E63393"/>
    <w:rsid w:val="00E9517E"/>
    <w:rsid w:val="00F16E0C"/>
    <w:rsid w:val="00F4648D"/>
    <w:rsid w:val="00F6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5D0B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Arial" w:eastAsia="Arial" w:hAnsi="Arial" w:cs="Arial"/>
      <w:lang w:val="hu-HU" w:eastAsia="hu-HU" w:bidi="hu-HU"/>
    </w:rPr>
  </w:style>
  <w:style w:type="paragraph" w:styleId="Cmsor1">
    <w:name w:val="heading 1"/>
    <w:basedOn w:val="Norml"/>
    <w:uiPriority w:val="9"/>
    <w:qFormat/>
    <w:pPr>
      <w:spacing w:before="90"/>
      <w:ind w:left="652" w:hanging="432"/>
      <w:outlineLvl w:val="0"/>
    </w:pPr>
    <w:rPr>
      <w:sz w:val="32"/>
      <w:szCs w:val="32"/>
    </w:rPr>
  </w:style>
  <w:style w:type="paragraph" w:styleId="Cmsor2">
    <w:name w:val="heading 2"/>
    <w:basedOn w:val="Norml"/>
    <w:uiPriority w:val="9"/>
    <w:unhideWhenUsed/>
    <w:qFormat/>
    <w:pPr>
      <w:ind w:left="797" w:hanging="577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</w:style>
  <w:style w:type="paragraph" w:styleId="Listaszerbekezds">
    <w:name w:val="List Paragraph"/>
    <w:basedOn w:val="Norml"/>
    <w:uiPriority w:val="1"/>
    <w:qFormat/>
    <w:pPr>
      <w:ind w:left="941" w:hanging="721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39"/>
    <w:rsid w:val="00192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B54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B54B4"/>
    <w:rPr>
      <w:rFonts w:ascii="Arial" w:eastAsia="Arial" w:hAnsi="Arial" w:cs="Arial"/>
      <w:lang w:val="hu-HU" w:eastAsia="hu-HU" w:bidi="hu-HU"/>
    </w:rPr>
  </w:style>
  <w:style w:type="paragraph" w:styleId="llb">
    <w:name w:val="footer"/>
    <w:basedOn w:val="Norml"/>
    <w:link w:val="llbChar"/>
    <w:uiPriority w:val="99"/>
    <w:unhideWhenUsed/>
    <w:rsid w:val="00BB54B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B54B4"/>
    <w:rPr>
      <w:rFonts w:ascii="Arial" w:eastAsia="Arial" w:hAnsi="Arial" w:cs="Arial"/>
      <w:lang w:val="hu-HU" w:eastAsia="hu-HU" w:bidi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Arial" w:eastAsia="Arial" w:hAnsi="Arial" w:cs="Arial"/>
      <w:lang w:val="hu-HU" w:eastAsia="hu-HU" w:bidi="hu-HU"/>
    </w:rPr>
  </w:style>
  <w:style w:type="paragraph" w:styleId="Cmsor1">
    <w:name w:val="heading 1"/>
    <w:basedOn w:val="Norml"/>
    <w:uiPriority w:val="9"/>
    <w:qFormat/>
    <w:pPr>
      <w:spacing w:before="90"/>
      <w:ind w:left="652" w:hanging="432"/>
      <w:outlineLvl w:val="0"/>
    </w:pPr>
    <w:rPr>
      <w:sz w:val="32"/>
      <w:szCs w:val="32"/>
    </w:rPr>
  </w:style>
  <w:style w:type="paragraph" w:styleId="Cmsor2">
    <w:name w:val="heading 2"/>
    <w:basedOn w:val="Norml"/>
    <w:uiPriority w:val="9"/>
    <w:unhideWhenUsed/>
    <w:qFormat/>
    <w:pPr>
      <w:ind w:left="797" w:hanging="577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</w:style>
  <w:style w:type="paragraph" w:styleId="Listaszerbekezds">
    <w:name w:val="List Paragraph"/>
    <w:basedOn w:val="Norml"/>
    <w:uiPriority w:val="1"/>
    <w:qFormat/>
    <w:pPr>
      <w:ind w:left="941" w:hanging="721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39"/>
    <w:rsid w:val="00192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B54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B54B4"/>
    <w:rPr>
      <w:rFonts w:ascii="Arial" w:eastAsia="Arial" w:hAnsi="Arial" w:cs="Arial"/>
      <w:lang w:val="hu-HU" w:eastAsia="hu-HU" w:bidi="hu-HU"/>
    </w:rPr>
  </w:style>
  <w:style w:type="paragraph" w:styleId="llb">
    <w:name w:val="footer"/>
    <w:basedOn w:val="Norml"/>
    <w:link w:val="llbChar"/>
    <w:uiPriority w:val="99"/>
    <w:unhideWhenUsed/>
    <w:rsid w:val="00BB54B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B54B4"/>
    <w:rPr>
      <w:rFonts w:ascii="Arial" w:eastAsia="Arial" w:hAnsi="Arial" w:cs="Arial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2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1543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Microsoft Word - reh_180131_epiteszmuleiras_bauantragbeschreibung</vt:lpstr>
    </vt:vector>
  </TitlesOfParts>
  <Company/>
  <LinksUpToDate>false</LinksUpToDate>
  <CharactersWithSpaces>12171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reh_180131_epiteszmuleiras_bauantragbeschreibung</dc:title>
  <dc:creator>D</dc:creator>
  <cp:lastModifiedBy>Schäffer Viktória</cp:lastModifiedBy>
  <cp:revision>37</cp:revision>
  <dcterms:created xsi:type="dcterms:W3CDTF">2020-08-26T11:02:00Z</dcterms:created>
  <dcterms:modified xsi:type="dcterms:W3CDTF">2020-09-22T07:39:00Z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2020-08-26T00:00:00Z</vt:filetime>
  </property>
</Properties>
</file>