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426" w:hanging="0"/>
        <w:jc w:val="center"/>
        <w:rPr/>
      </w:pPr>
      <w:r>
        <w:rPr>
          <w:b/>
          <w:sz w:val="36"/>
          <w:szCs w:val="36"/>
          <w:u w:val="single"/>
        </w:rPr>
        <w:t xml:space="preserve">A pályázatot ismertető kiadványhoz szükséges alapadatok és kiegészítő információk </w:t>
      </w:r>
    </w:p>
    <w:p>
      <w:pPr>
        <w:pStyle w:val="Normal"/>
        <w:bidi w:val="0"/>
        <w:ind w:left="426" w:hanging="0"/>
        <w:jc w:val="center"/>
        <w:rPr/>
      </w:pPr>
      <w:r>
        <w:rPr>
          <w:b/>
          <w:sz w:val="36"/>
          <w:szCs w:val="36"/>
          <w:u w:val="single"/>
        </w:rPr>
        <w:t xml:space="preserve">word formátumban </w:t>
      </w:r>
    </w:p>
    <w:p>
      <w:pPr>
        <w:pStyle w:val="Normal"/>
        <w:bidi w:val="0"/>
        <w:ind w:left="426" w:hanging="0"/>
        <w:jc w:val="both"/>
        <w:rPr>
          <w:b/>
          <w:b/>
          <w:color w:val="FF0000"/>
          <w:sz w:val="36"/>
          <w:szCs w:val="36"/>
          <w:u w:val="single"/>
        </w:rPr>
      </w:pPr>
      <w:r>
        <w:rPr>
          <w:b/>
          <w:color w:val="FF0000"/>
          <w:sz w:val="36"/>
          <w:szCs w:val="36"/>
          <w:u w:val="single"/>
        </w:rPr>
      </w:r>
    </w:p>
    <w:p>
      <w:pPr>
        <w:pStyle w:val="Normal"/>
        <w:bidi w:val="0"/>
        <w:ind w:left="426" w:hanging="0"/>
        <w:jc w:val="both"/>
        <w:rPr>
          <w:b/>
          <w:b/>
          <w:color w:val="FF0000"/>
          <w:u w:val="single"/>
        </w:rPr>
      </w:pPr>
      <w:r>
        <w:rPr>
          <w:b/>
          <w:color w:val="FF0000"/>
          <w:u w:val="single"/>
        </w:rPr>
      </w:r>
    </w:p>
    <w:p>
      <w:pPr>
        <w:pStyle w:val="Normal"/>
        <w:bidi w:val="0"/>
        <w:ind w:left="426" w:hanging="0"/>
        <w:jc w:val="both"/>
        <w:rPr>
          <w:b/>
          <w:b/>
          <w:color w:val="FF0000"/>
          <w:u w:val="single"/>
        </w:rPr>
      </w:pPr>
      <w:r>
        <w:rPr>
          <w:b/>
          <w:color w:val="FF0000"/>
          <w:u w:val="single"/>
        </w:rPr>
      </w:r>
    </w:p>
    <w:p>
      <w:pPr>
        <w:pStyle w:val="Normal"/>
        <w:bidi w:val="0"/>
        <w:ind w:left="426" w:hanging="0"/>
        <w:jc w:val="both"/>
        <w:rPr/>
      </w:pPr>
      <w:r>
        <w:rPr>
          <w:b/>
        </w:rPr>
        <w:t xml:space="preserve">Pályamű elnevezése és címe: </w:t>
      </w:r>
      <w:r>
        <w:rPr>
          <w:b/>
        </w:rPr>
        <w:t>Bujtosi Városliget, 4400 Nyíregyháza, Belső krt. 61.</w:t>
      </w:r>
    </w:p>
    <w:p>
      <w:pPr>
        <w:pStyle w:val="Normal"/>
        <w:bidi w:val="0"/>
        <w:ind w:left="426" w:hanging="0"/>
        <w:jc w:val="both"/>
        <w:rPr>
          <w:b/>
          <w:b/>
        </w:rPr>
      </w:pPr>
      <w:r>
        <w:rPr>
          <w:b/>
        </w:rPr>
        <w:t xml:space="preserve">Pályázó: </w:t>
      </w:r>
      <w:r>
        <w:rPr>
          <w:b/>
        </w:rPr>
        <w:t>MG Építész Kft.</w:t>
      </w:r>
    </w:p>
    <w:p>
      <w:pPr>
        <w:pStyle w:val="Normal"/>
        <w:bidi w:val="0"/>
        <w:ind w:left="426" w:hanging="0"/>
        <w:jc w:val="both"/>
        <w:rPr>
          <w:b/>
          <w:b/>
        </w:rPr>
      </w:pPr>
      <w:r>
        <w:rPr>
          <w:b/>
        </w:rPr>
        <w:t xml:space="preserve">Beruházó: </w:t>
      </w:r>
      <w:r>
        <w:rPr>
          <w:b/>
        </w:rPr>
        <w:t>Nyíregyháza Megyei Jogú Város Önkormányzata</w:t>
      </w:r>
    </w:p>
    <w:p>
      <w:pPr>
        <w:pStyle w:val="Normal"/>
        <w:bidi w:val="0"/>
        <w:ind w:left="426" w:hanging="0"/>
        <w:jc w:val="both"/>
        <w:rPr>
          <w:b/>
          <w:b/>
        </w:rPr>
      </w:pPr>
      <w:r>
        <w:rPr>
          <w:b/>
        </w:rPr>
        <w:t xml:space="preserve">Tervező: </w:t>
      </w:r>
      <w:r>
        <w:rPr>
          <w:b/>
        </w:rPr>
        <w:t>MG Építész Kft.</w:t>
      </w:r>
    </w:p>
    <w:p>
      <w:pPr>
        <w:pStyle w:val="Normal"/>
        <w:bidi w:val="0"/>
        <w:ind w:left="426" w:hanging="0"/>
        <w:jc w:val="both"/>
        <w:rPr>
          <w:b/>
          <w:b/>
          <w:highlight w:val="none"/>
          <w:shd w:fill="FFFF00" w:val="clear"/>
        </w:rPr>
      </w:pPr>
      <w:r>
        <w:rPr>
          <w:b/>
          <w:shd w:fill="FFFFFF" w:val="clear"/>
        </w:rPr>
        <w:t xml:space="preserve">Kivitelező: </w:t>
      </w:r>
      <w:r>
        <w:rPr>
          <w:rFonts w:cs="Century Gothic" w:ascii="Arial" w:hAnsi="Arial"/>
          <w:b/>
          <w:sz w:val="18"/>
          <w:szCs w:val="18"/>
          <w:shd w:fill="auto" w:val="clear"/>
        </w:rPr>
        <w:t>NYÍR-SL Építőipari Kft.</w:t>
      </w:r>
    </w:p>
    <w:p>
      <w:pPr>
        <w:pStyle w:val="Normal"/>
        <w:bidi w:val="0"/>
        <w:ind w:left="426" w:hanging="0"/>
        <w:jc w:val="both"/>
        <w:rPr>
          <w:b/>
          <w:b/>
          <w:highlight w:val="none"/>
          <w:shd w:fill="FFFF00" w:val="clear"/>
        </w:rPr>
      </w:pPr>
      <w:r>
        <w:rPr>
          <w:b/>
          <w:shd w:fill="FFFF00" w:val="clear"/>
        </w:rPr>
      </w:r>
    </w:p>
    <w:p>
      <w:pPr>
        <w:pStyle w:val="Normal"/>
        <w:bidi w:val="0"/>
        <w:ind w:left="426" w:hanging="0"/>
        <w:jc w:val="both"/>
        <w:rPr>
          <w:b/>
          <w:b/>
          <w:highlight w:val="none"/>
          <w:shd w:fill="auto" w:val="clear"/>
        </w:rPr>
      </w:pPr>
      <w:r>
        <w:rPr>
          <w:b/>
          <w:shd w:fill="auto" w:val="clear"/>
        </w:rPr>
        <w:t xml:space="preserve"> </w:t>
      </w:r>
      <w:r>
        <w:rPr>
          <w:b/>
          <w:u w:val="single"/>
          <w:shd w:fill="auto" w:val="clear"/>
        </w:rPr>
        <w:t>Az ingatlanfejlesztés koncepciója</w:t>
      </w:r>
    </w:p>
    <w:p>
      <w:pPr>
        <w:pStyle w:val="Normal"/>
        <w:bidi w:val="0"/>
        <w:ind w:left="426" w:hanging="0"/>
        <w:jc w:val="both"/>
        <w:rPr>
          <w:u w:val="single"/>
        </w:rPr>
      </w:pPr>
      <w:r>
        <w:rPr>
          <w:b/>
          <w:shd w:fill="auto" w:val="clear"/>
        </w:rPr>
      </w:r>
    </w:p>
    <w:p>
      <w:pPr>
        <w:pStyle w:val="Normal"/>
        <w:bidi w:val="0"/>
        <w:ind w:left="426" w:hanging="0"/>
        <w:jc w:val="both"/>
        <w:rPr>
          <w:b w:val="false"/>
          <w:b w:val="false"/>
          <w:bCs w:val="false"/>
          <w:highlight w:val="none"/>
          <w:u w:val="none"/>
          <w:shd w:fill="auto" w:val="clear"/>
        </w:rPr>
      </w:pPr>
      <w:r>
        <w:rPr>
          <w:b w:val="false"/>
          <w:bCs w:val="false"/>
          <w:u w:val="none"/>
          <w:shd w:fill="auto" w:val="clear"/>
        </w:rPr>
        <w:t xml:space="preserve">A nyíregyházi Bujtosi Városliget régóta népszerű közpark. Különlegessége, hogy területén öt, mesterséges eredetű tó található. 1995-ben döntött úgy a városvezetés, hogy közparkot hoz létre a területen. A horgásztavak mellett az olyan attrakciókkal, mint a sportpályák, horgászstégek, cserjelabirintus vagy sütögetőhelyek. Ezek a népszerű szolgáltatások újultak meg a mostani rekonstrukció során, és egészültek ki további elemekkel. Az uniós forrásnak köszönhetően megvalósuló felújítás fő célja egy korszerű, számos szolgáltatást kínáló, 21. századi színvonalú közpark létrehozása volt. Mindez a meglévő funkciók megtartásával, fejlesztésével és kiegészítésével, egy családbarát, minden korosztály által jól használható, élhető és fenntartható zöldfelület létrehozásával, amelynek jegyében megújult a növényzet is. A felújítás része volt a „Zöld város kialakítása Nyíregyháza területén" című projektnek, amely </w:t>
      </w:r>
      <w:r>
        <w:rPr>
          <w:b w:val="false"/>
          <w:bCs w:val="false"/>
          <w:u w:val="none"/>
          <w:shd w:fill="auto" w:val="clear"/>
        </w:rPr>
        <w:t xml:space="preserve">a </w:t>
      </w:r>
      <w:r>
        <w:rPr>
          <w:b w:val="false"/>
          <w:bCs w:val="false"/>
          <w:u w:val="none"/>
          <w:shd w:fill="auto" w:val="clear"/>
        </w:rPr>
        <w:t>Nyíregyháza fenntartható városfejlesztés</w:t>
      </w:r>
      <w:r>
        <w:rPr>
          <w:b w:val="false"/>
          <w:bCs w:val="false"/>
          <w:u w:val="none"/>
          <w:shd w:fill="auto" w:val="clear"/>
        </w:rPr>
        <w:t>ét célzó</w:t>
      </w:r>
      <w:r>
        <w:rPr>
          <w:b w:val="false"/>
          <w:bCs w:val="false"/>
          <w:u w:val="none"/>
          <w:shd w:fill="auto" w:val="clear"/>
        </w:rPr>
        <w:t xml:space="preserve"> </w:t>
      </w:r>
      <w:r>
        <w:rPr>
          <w:b w:val="false"/>
          <w:bCs w:val="false"/>
          <w:u w:val="none"/>
          <w:shd w:fill="auto" w:val="clear"/>
        </w:rPr>
        <w:t xml:space="preserve">törekvésekkel </w:t>
      </w:r>
      <w:r>
        <w:rPr>
          <w:b w:val="false"/>
          <w:bCs w:val="false"/>
          <w:u w:val="none"/>
          <w:shd w:fill="auto" w:val="clear"/>
        </w:rPr>
        <w:t>összhangban valósult meg.</w:t>
      </w:r>
    </w:p>
    <w:p>
      <w:pPr>
        <w:pStyle w:val="Normal"/>
        <w:bidi w:val="0"/>
        <w:ind w:left="426" w:hanging="0"/>
        <w:jc w:val="both"/>
        <w:rPr>
          <w:b w:val="false"/>
          <w:b w:val="false"/>
          <w:bCs w:val="false"/>
          <w:highlight w:val="none"/>
          <w:u w:val="none"/>
          <w:shd w:fill="auto" w:val="clear"/>
        </w:rPr>
      </w:pPr>
      <w:r>
        <w:rPr>
          <w:b w:val="false"/>
          <w:bCs w:val="false"/>
          <w:u w:val="none"/>
          <w:shd w:fill="auto" w:val="clear"/>
        </w:rPr>
      </w:r>
    </w:p>
    <w:p>
      <w:pPr>
        <w:pStyle w:val="Normal"/>
        <w:bidi w:val="0"/>
        <w:ind w:left="426" w:hanging="0"/>
        <w:jc w:val="both"/>
        <w:rPr>
          <w:b/>
          <w:b/>
        </w:rPr>
      </w:pPr>
      <w:r>
        <w:rPr>
          <w:b/>
          <w:bCs/>
          <w:u w:val="single"/>
          <w:shd w:fill="auto" w:val="clear"/>
        </w:rPr>
        <w:t>Főbb adatok</w:t>
      </w:r>
    </w:p>
    <w:p>
      <w:pPr>
        <w:pStyle w:val="Normal"/>
        <w:bidi w:val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tbl>
      <w:tblPr>
        <w:tblW w:w="8228" w:type="dxa"/>
        <w:jc w:val="left"/>
        <w:tblInd w:w="923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928"/>
        <w:gridCol w:w="4173"/>
        <w:gridCol w:w="1127"/>
      </w:tblGrid>
      <w:tr>
        <w:trPr>
          <w:trHeight w:val="341" w:hRule="atLeast"/>
        </w:trPr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>Projekt megnevezése /name of the project</w:t>
            </w:r>
          </w:p>
        </w:tc>
        <w:tc>
          <w:tcPr>
            <w:tcW w:w="5300" w:type="dxa"/>
            <w:gridSpan w:val="2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>
                <w:rFonts w:ascii="Calibri" w:hAnsi="Calibri" w:cs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24"/>
                <w:szCs w:val="24"/>
              </w:rPr>
              <w:t>Bujtosi Városliget</w:t>
            </w:r>
            <w:r>
              <w:rPr>
                <w:rFonts w:cs="Calibri"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341" w:hRule="atLeast"/>
        </w:trPr>
        <w:tc>
          <w:tcPr>
            <w:tcW w:w="292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>telek területe / territory of the plot</w:t>
            </w:r>
          </w:p>
        </w:tc>
        <w:tc>
          <w:tcPr>
            <w:tcW w:w="4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8"/>
                <w:szCs w:val="18"/>
              </w:rPr>
              <w:t>271 000 m2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m2</w:t>
            </w:r>
          </w:p>
        </w:tc>
      </w:tr>
      <w:tr>
        <w:trPr>
          <w:trHeight w:val="341" w:hRule="atLeast"/>
        </w:trPr>
        <w:tc>
          <w:tcPr>
            <w:tcW w:w="292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>beépített terület /constructed area</w:t>
            </w:r>
          </w:p>
        </w:tc>
        <w:tc>
          <w:tcPr>
            <w:tcW w:w="4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29,5 m2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m2</w:t>
            </w:r>
          </w:p>
        </w:tc>
      </w:tr>
      <w:tr>
        <w:trPr>
          <w:trHeight w:val="341" w:hRule="atLeast"/>
        </w:trPr>
        <w:tc>
          <w:tcPr>
            <w:tcW w:w="292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>zöld terület / green area</w:t>
            </w:r>
          </w:p>
        </w:tc>
        <w:tc>
          <w:tcPr>
            <w:tcW w:w="4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m2</w:t>
            </w:r>
          </w:p>
        </w:tc>
      </w:tr>
      <w:tr>
        <w:trPr>
          <w:trHeight w:val="341" w:hRule="atLeast"/>
        </w:trPr>
        <w:tc>
          <w:tcPr>
            <w:tcW w:w="292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>bruttó szintterületi mutatóba beszámítandó alapterület /Total surface</w:t>
            </w:r>
          </w:p>
        </w:tc>
        <w:tc>
          <w:tcPr>
            <w:tcW w:w="4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m2</w:t>
            </w:r>
          </w:p>
        </w:tc>
      </w:tr>
      <w:tr>
        <w:trPr>
          <w:trHeight w:val="341" w:hRule="atLeast"/>
        </w:trPr>
        <w:tc>
          <w:tcPr>
            <w:tcW w:w="292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>értékesíthető, bérelhető nettó terület / part for rent or sale</w:t>
            </w:r>
          </w:p>
        </w:tc>
        <w:tc>
          <w:tcPr>
            <w:tcW w:w="4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m2</w:t>
            </w:r>
          </w:p>
        </w:tc>
      </w:tr>
      <w:tr>
        <w:trPr>
          <w:trHeight w:val="341" w:hRule="atLeast"/>
        </w:trPr>
        <w:tc>
          <w:tcPr>
            <w:tcW w:w="292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 xml:space="preserve">építési költség, melyből /Total construction cost </w:t>
            </w:r>
          </w:p>
        </w:tc>
        <w:tc>
          <w:tcPr>
            <w:tcW w:w="4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  <w:tab w:val="left" w:pos="1146" w:leader="none"/>
              </w:tabs>
              <w:bidi w:val="0"/>
              <w:snapToGrid w:val="false"/>
              <w:ind w:left="720" w:hanging="294"/>
              <w:jc w:val="both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8"/>
                <w:szCs w:val="18"/>
              </w:rPr>
              <w:t xml:space="preserve">nettó 319 318 064,- Ft + áfa 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/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millió HUF</w:t>
            </w:r>
          </w:p>
        </w:tc>
      </w:tr>
      <w:tr>
        <w:trPr>
          <w:trHeight w:val="341" w:hRule="atLeast"/>
        </w:trPr>
        <w:tc>
          <w:tcPr>
            <w:tcW w:w="292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>saját erő/ own resource</w:t>
            </w:r>
          </w:p>
        </w:tc>
        <w:tc>
          <w:tcPr>
            <w:tcW w:w="4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>
        <w:trPr>
          <w:trHeight w:val="341" w:hRule="atLeast"/>
        </w:trPr>
        <w:tc>
          <w:tcPr>
            <w:tcW w:w="292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 xml:space="preserve">hitel /loan </w:t>
            </w:r>
          </w:p>
        </w:tc>
        <w:tc>
          <w:tcPr>
            <w:tcW w:w="4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 xml:space="preserve">  </w:t>
            </w:r>
            <w:r>
              <w:rPr>
                <w:rFonts w:cs="Arial" w:ascii="Arial" w:hAnsi="Arial"/>
                <w:b/>
                <w:bCs/>
                <w:color w:val="000000"/>
                <w:sz w:val="18"/>
                <w:szCs w:val="18"/>
              </w:rPr>
              <w:t>100%-os intenzitású támogatás a „Zöld város kialakítása Nyíregyháza területén” című projekt megvalósítására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>
        <w:trPr>
          <w:trHeight w:val="341" w:hRule="atLeast"/>
        </w:trPr>
        <w:tc>
          <w:tcPr>
            <w:tcW w:w="292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>értékesítésből /from sales</w:t>
            </w:r>
          </w:p>
        </w:tc>
        <w:tc>
          <w:tcPr>
            <w:tcW w:w="4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>
        <w:trPr>
          <w:trHeight w:val="341" w:hRule="atLeast"/>
        </w:trPr>
        <w:tc>
          <w:tcPr>
            <w:tcW w:w="822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>eladás, bérbeadás állása /sold or rented</w:t>
            </w:r>
          </w:p>
        </w:tc>
      </w:tr>
      <w:tr>
        <w:trPr>
          <w:trHeight w:val="341" w:hRule="atLeast"/>
        </w:trPr>
        <w:tc>
          <w:tcPr>
            <w:tcW w:w="292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eastAsia="Century Gothic" w:cs="Century Gothic"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>kivitelezés befejezésekor/ at the end of the construction</w:t>
            </w:r>
          </w:p>
        </w:tc>
        <w:tc>
          <w:tcPr>
            <w:tcW w:w="4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>
        <w:trPr>
          <w:trHeight w:val="358" w:hRule="atLeast"/>
        </w:trPr>
        <w:tc>
          <w:tcPr>
            <w:tcW w:w="292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cs="Century Gothic" w:ascii="Century Gothic" w:hAnsi="Century Gothic"/>
                <w:b/>
                <w:bCs/>
                <w:color w:val="000000"/>
                <w:sz w:val="18"/>
                <w:szCs w:val="18"/>
              </w:rPr>
              <w:t>1 évvel később/1 year later</w:t>
            </w:r>
          </w:p>
        </w:tc>
        <w:tc>
          <w:tcPr>
            <w:tcW w:w="4173" w:type="dxa"/>
            <w:tcBorders>
              <w:bottom w:val="single" w:sz="8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left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</w:tbl>
    <w:p>
      <w:pPr>
        <w:pStyle w:val="Normal"/>
        <w:bidi w:val="0"/>
        <w:ind w:left="426" w:hanging="0"/>
        <w:jc w:val="both"/>
        <w:rPr>
          <w:rFonts w:ascii="Arial" w:hAnsi="Arial" w:cs="Arial"/>
          <w:b w:val="false"/>
          <w:b w:val="false"/>
          <w:bCs w:val="false"/>
          <w:highlight w:val="none"/>
          <w:u w:val="none"/>
          <w:shd w:fill="auto" w:val="clear"/>
        </w:rPr>
      </w:pPr>
      <w:r>
        <w:rPr>
          <w:rFonts w:cs="Arial" w:ascii="Arial" w:hAnsi="Arial"/>
          <w:b w:val="false"/>
          <w:bCs w:val="false"/>
          <w:u w:val="none"/>
          <w:shd w:fill="auto" w:val="clear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  <w:font w:name="Arial">
    <w:charset w:val="ee"/>
    <w:family w:val="swiss"/>
    <w:pitch w:val="variable"/>
  </w:font>
  <w:font w:name="Century Gothic">
    <w:charset w:val="ee"/>
    <w:family w:val="swiss"/>
    <w:pitch w:val="variable"/>
  </w:font>
  <w:font w:name="Calibri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hu-H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3913</TotalTime>
  <Application>LibreOffice/7.2.0.4$Windows_X86_64 LibreOffice_project/9a9c6381e3f7a62afc1329bd359cc48accb6435b</Application>
  <AppVersion>15.0000</AppVersion>
  <Pages>1</Pages>
  <Words>277</Words>
  <Characters>1816</Characters>
  <CharactersWithSpaces>2072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2021-09-21T21:54:19Z</dcterms:created>
  <dc:creator/>
  <dc:description/>
  <dc:language>hu-HU</dc:language>
  <cp:lastModifiedBy/>
  <dcterms:modified xsi:type="dcterms:W3CDTF">2021-09-24T15:19:43Z</dcterms:modified>
  <cp:revision>7</cp:revision>
  <dc:subject/>
  <dc:title/>
</cp:coreProperties>
</file>